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C51" w:rsidRPr="003C3EA5" w:rsidRDefault="000B194C" w:rsidP="00D50818">
      <w:pPr>
        <w:pStyle w:val="Heading1"/>
      </w:pPr>
      <w:bookmarkStart w:id="0" w:name="_Toc300768968"/>
      <w:bookmarkStart w:id="1" w:name="_Toc300785409"/>
      <w:bookmarkStart w:id="2" w:name="_GoBack"/>
      <w:bookmarkEnd w:id="2"/>
      <w:r w:rsidRPr="003C3EA5">
        <w:t>Risk Adjustment and the A</w:t>
      </w:r>
      <w:r w:rsidR="00A62C51" w:rsidRPr="003C3EA5">
        <w:t>ssess</w:t>
      </w:r>
      <w:r w:rsidRPr="003C3EA5">
        <w:t>ment of</w:t>
      </w:r>
      <w:r w:rsidR="00A62C51" w:rsidRPr="003C3EA5">
        <w:t xml:space="preserve"> Disparities in Dialysis </w:t>
      </w:r>
      <w:r w:rsidR="00A62C51" w:rsidRPr="00D50818">
        <w:t>Mortality</w:t>
      </w:r>
      <w:r w:rsidR="00A62C51" w:rsidRPr="003C3EA5">
        <w:t xml:space="preserve"> Outcomes</w:t>
      </w:r>
    </w:p>
    <w:p w:rsidR="00CF123A" w:rsidRPr="002A1FD6" w:rsidRDefault="00CF123A" w:rsidP="00CF123A">
      <w:r w:rsidRPr="002A1FD6">
        <w:t xml:space="preserve">John Kalbfleisch, </w:t>
      </w:r>
      <w:r w:rsidR="00F43B81" w:rsidRPr="002A1FD6">
        <w:t>PhD</w:t>
      </w:r>
      <w:r w:rsidR="00F43B81">
        <w:rPr>
          <w:vertAlign w:val="superscript"/>
        </w:rPr>
        <w:t>*</w:t>
      </w:r>
      <w:r w:rsidRPr="002A1FD6">
        <w:rPr>
          <w:vertAlign w:val="superscript"/>
        </w:rPr>
        <w:t>,</w:t>
      </w:r>
      <w:r w:rsidR="007A4148">
        <w:rPr>
          <w:vertAlign w:val="superscript"/>
        </w:rPr>
        <w:t>§</w:t>
      </w:r>
      <w:r w:rsidR="0036240D" w:rsidRPr="001F3D00">
        <w:t>,</w:t>
      </w:r>
      <w:r w:rsidRPr="002A1FD6">
        <w:t xml:space="preserve"> Robert Wolfe, PhD</w:t>
      </w:r>
      <w:r w:rsidR="007A4148">
        <w:rPr>
          <w:vertAlign w:val="superscript"/>
        </w:rPr>
        <w:t>§</w:t>
      </w:r>
      <w:r w:rsidRPr="002A1FD6">
        <w:t>,</w:t>
      </w:r>
      <w:r w:rsidR="00061389">
        <w:t xml:space="preserve"> </w:t>
      </w:r>
      <w:r w:rsidR="00DE5A37" w:rsidRPr="002A1FD6">
        <w:t xml:space="preserve">Sarah </w:t>
      </w:r>
      <w:r w:rsidR="00CF7594">
        <w:t>Bell</w:t>
      </w:r>
      <w:r w:rsidR="00DE5A37" w:rsidRPr="002A1FD6">
        <w:t xml:space="preserve">, </w:t>
      </w:r>
      <w:r w:rsidR="007A4148" w:rsidRPr="002A1FD6">
        <w:t>MPH</w:t>
      </w:r>
      <w:r w:rsidR="007A4148">
        <w:rPr>
          <w:vertAlign w:val="superscript"/>
        </w:rPr>
        <w:t>*</w:t>
      </w:r>
      <w:r w:rsidR="00DE5A37">
        <w:rPr>
          <w:vertAlign w:val="superscript"/>
        </w:rPr>
        <w:t>,</w:t>
      </w:r>
      <w:r w:rsidR="007A4148">
        <w:rPr>
          <w:vertAlign w:val="superscript"/>
        </w:rPr>
        <w:t>§</w:t>
      </w:r>
      <w:r w:rsidR="00DE5A37" w:rsidRPr="002A1FD6">
        <w:t xml:space="preserve">, </w:t>
      </w:r>
      <w:r w:rsidRPr="002A1FD6">
        <w:t xml:space="preserve">Rena Sun, </w:t>
      </w:r>
      <w:r w:rsidR="007A4148" w:rsidRPr="002A1FD6">
        <w:t>PhD</w:t>
      </w:r>
      <w:r w:rsidR="007A4148">
        <w:rPr>
          <w:vertAlign w:val="superscript"/>
        </w:rPr>
        <w:t>*</w:t>
      </w:r>
      <w:r w:rsidRPr="002A1FD6">
        <w:t xml:space="preserve">, Joseph Messana, </w:t>
      </w:r>
      <w:r w:rsidR="007A4148" w:rsidRPr="002A1FD6">
        <w:t>MD</w:t>
      </w:r>
      <w:r w:rsidR="007A4148">
        <w:rPr>
          <w:vertAlign w:val="superscript"/>
        </w:rPr>
        <w:t>*</w:t>
      </w:r>
      <w:r w:rsidR="00C348E3">
        <w:rPr>
          <w:vertAlign w:val="superscript"/>
        </w:rPr>
        <w:t>,</w:t>
      </w:r>
      <w:r w:rsidR="00E929AC" w:rsidRPr="00C348E3">
        <w:rPr>
          <w:vertAlign w:val="superscript"/>
        </w:rPr>
        <w:t>¶</w:t>
      </w:r>
      <w:r w:rsidRPr="002A1FD6">
        <w:t xml:space="preserve">, Tempie Shearon, </w:t>
      </w:r>
      <w:r w:rsidR="007A4148" w:rsidRPr="002A1FD6">
        <w:t>MS</w:t>
      </w:r>
      <w:r w:rsidR="007A4148">
        <w:rPr>
          <w:vertAlign w:val="superscript"/>
        </w:rPr>
        <w:t>*</w:t>
      </w:r>
      <w:r>
        <w:rPr>
          <w:vertAlign w:val="superscript"/>
        </w:rPr>
        <w:t>,</w:t>
      </w:r>
      <w:r w:rsidR="007A4148">
        <w:rPr>
          <w:vertAlign w:val="superscript"/>
        </w:rPr>
        <w:t>§</w:t>
      </w:r>
      <w:r w:rsidRPr="002A1FD6">
        <w:t xml:space="preserve">, Valarie Ashby, </w:t>
      </w:r>
      <w:r w:rsidR="007A4148" w:rsidRPr="002A1FD6">
        <w:t>MA</w:t>
      </w:r>
      <w:r w:rsidR="007A4148">
        <w:rPr>
          <w:vertAlign w:val="superscript"/>
        </w:rPr>
        <w:t>*</w:t>
      </w:r>
      <w:r>
        <w:rPr>
          <w:vertAlign w:val="superscript"/>
        </w:rPr>
        <w:t>,</w:t>
      </w:r>
      <w:r w:rsidR="007A4148">
        <w:rPr>
          <w:vertAlign w:val="superscript"/>
        </w:rPr>
        <w:t>§</w:t>
      </w:r>
      <w:r w:rsidRPr="002A1FD6">
        <w:t xml:space="preserve">, Robin Padilla, </w:t>
      </w:r>
      <w:r w:rsidR="007A4148" w:rsidRPr="002A1FD6">
        <w:t>MS</w:t>
      </w:r>
      <w:r w:rsidR="007A4148">
        <w:rPr>
          <w:vertAlign w:val="superscript"/>
        </w:rPr>
        <w:t>*</w:t>
      </w:r>
      <w:r>
        <w:rPr>
          <w:vertAlign w:val="superscript"/>
        </w:rPr>
        <w:t>,</w:t>
      </w:r>
      <w:r w:rsidR="007A4148">
        <w:rPr>
          <w:vertAlign w:val="superscript"/>
        </w:rPr>
        <w:t>§</w:t>
      </w:r>
      <w:r w:rsidRPr="002A1FD6">
        <w:t xml:space="preserve">, Min Zhang, </w:t>
      </w:r>
      <w:r w:rsidR="007A4148" w:rsidRPr="002A1FD6">
        <w:t>PhD</w:t>
      </w:r>
      <w:r w:rsidR="007A4148">
        <w:rPr>
          <w:vertAlign w:val="superscript"/>
        </w:rPr>
        <w:t>*</w:t>
      </w:r>
      <w:r w:rsidRPr="002A1FD6">
        <w:rPr>
          <w:vertAlign w:val="superscript"/>
        </w:rPr>
        <w:t>,</w:t>
      </w:r>
      <w:r w:rsidR="007A4148">
        <w:rPr>
          <w:vertAlign w:val="superscript"/>
        </w:rPr>
        <w:t>§</w:t>
      </w:r>
      <w:r w:rsidRPr="002A1FD6">
        <w:t>, Marc Turenne, PhD</w:t>
      </w:r>
      <w:r w:rsidR="00AA7292">
        <w:rPr>
          <w:vertAlign w:val="superscript"/>
        </w:rPr>
        <w:t>ǂ</w:t>
      </w:r>
      <w:r w:rsidRPr="002A1FD6">
        <w:t>, Jeffr</w:t>
      </w:r>
      <w:r w:rsidR="005B37EE">
        <w:t>e</w:t>
      </w:r>
      <w:r w:rsidRPr="002A1FD6">
        <w:t>y Pearson, MS</w:t>
      </w:r>
      <w:r w:rsidR="00AA7292">
        <w:rPr>
          <w:vertAlign w:val="superscript"/>
        </w:rPr>
        <w:t>ǂ</w:t>
      </w:r>
      <w:r w:rsidRPr="002A1FD6">
        <w:t xml:space="preserve">, Claudia Dahlerus, </w:t>
      </w:r>
      <w:r w:rsidR="00CC3CF9" w:rsidRPr="002A1FD6">
        <w:t>PhD</w:t>
      </w:r>
      <w:r w:rsidR="00CC3CF9">
        <w:rPr>
          <w:vertAlign w:val="superscript"/>
        </w:rPr>
        <w:t>*</w:t>
      </w:r>
      <w:r>
        <w:rPr>
          <w:vertAlign w:val="superscript"/>
        </w:rPr>
        <w:t>,</w:t>
      </w:r>
      <w:r w:rsidR="007A4148">
        <w:rPr>
          <w:vertAlign w:val="superscript"/>
        </w:rPr>
        <w:t>§</w:t>
      </w:r>
      <w:r w:rsidRPr="002A1FD6">
        <w:t xml:space="preserve"> and Yi Li, PhD</w:t>
      </w:r>
      <w:r w:rsidR="007A4148">
        <w:rPr>
          <w:vertAlign w:val="superscript"/>
        </w:rPr>
        <w:t>*</w:t>
      </w:r>
      <w:r w:rsidR="007A4148" w:rsidRPr="002A1FD6">
        <w:rPr>
          <w:vertAlign w:val="superscript"/>
        </w:rPr>
        <w:t>,</w:t>
      </w:r>
      <w:r w:rsidR="007A4148">
        <w:rPr>
          <w:vertAlign w:val="superscript"/>
        </w:rPr>
        <w:t>§</w:t>
      </w:r>
    </w:p>
    <w:p w:rsidR="00CF123A" w:rsidRPr="002A1FD6" w:rsidRDefault="00F43B81" w:rsidP="004E0F53">
      <w:r>
        <w:rPr>
          <w:vertAlign w:val="superscript"/>
        </w:rPr>
        <w:t>*</w:t>
      </w:r>
      <w:r w:rsidRPr="002A1FD6">
        <w:t xml:space="preserve">Kidney </w:t>
      </w:r>
      <w:r w:rsidR="00CF123A" w:rsidRPr="002A1FD6">
        <w:t xml:space="preserve">Epidemiology and Cost Center, University of Michigan, Ann Arbor, MI; </w:t>
      </w:r>
      <w:r w:rsidR="00A21B61" w:rsidRPr="00C348E3">
        <w:rPr>
          <w:vertAlign w:val="superscript"/>
        </w:rPr>
        <w:t>¶</w:t>
      </w:r>
      <w:r w:rsidR="00CF123A" w:rsidRPr="002A1FD6">
        <w:t>Division of Nephrology, Department of Internal Medicine</w:t>
      </w:r>
      <w:r w:rsidR="004F3567" w:rsidRPr="002A1FD6">
        <w:t>, University of Michigan, Ann Arbor, MI</w:t>
      </w:r>
      <w:r w:rsidR="00CF123A" w:rsidRPr="002A1FD6">
        <w:t xml:space="preserve">; </w:t>
      </w:r>
      <w:r w:rsidR="00AA7292">
        <w:rPr>
          <w:vertAlign w:val="superscript"/>
        </w:rPr>
        <w:t>ǂ</w:t>
      </w:r>
      <w:r w:rsidR="00CF123A" w:rsidRPr="002A1FD6">
        <w:t xml:space="preserve">Arbor Research Collaborative for Health, Ann Arbor, MI; </w:t>
      </w:r>
      <w:r w:rsidR="007A4148">
        <w:rPr>
          <w:vertAlign w:val="superscript"/>
        </w:rPr>
        <w:t>§</w:t>
      </w:r>
      <w:r w:rsidR="00CF123A" w:rsidRPr="002A1FD6">
        <w:t>Department of Biostatistics, University of Michigan, Ann Arbor</w:t>
      </w:r>
    </w:p>
    <w:p w:rsidR="00613279" w:rsidRPr="002A1FD6" w:rsidRDefault="00613279" w:rsidP="00CD47E3">
      <w:pPr>
        <w:rPr>
          <w:b/>
        </w:rPr>
      </w:pPr>
      <w:r>
        <w:rPr>
          <w:b/>
        </w:rPr>
        <w:t xml:space="preserve">Running title: </w:t>
      </w:r>
      <w:r w:rsidR="000964C6">
        <w:t>Dialysis Outcome Disparities</w:t>
      </w:r>
      <w:r w:rsidR="0092648F">
        <w:t xml:space="preserve"> (26 characters, limit 30)</w:t>
      </w:r>
    </w:p>
    <w:p w:rsidR="00A62C51" w:rsidRDefault="00613279" w:rsidP="00E5213D">
      <w:r w:rsidRPr="00E5213D">
        <w:rPr>
          <w:b/>
        </w:rPr>
        <w:t xml:space="preserve">Word count for </w:t>
      </w:r>
      <w:r w:rsidR="00FD521F">
        <w:rPr>
          <w:b/>
        </w:rPr>
        <w:t xml:space="preserve">unstructured </w:t>
      </w:r>
      <w:r w:rsidRPr="00E5213D">
        <w:rPr>
          <w:b/>
        </w:rPr>
        <w:t>abstract:</w:t>
      </w:r>
      <w:r>
        <w:t xml:space="preserve"> </w:t>
      </w:r>
      <w:r w:rsidR="005541EE">
        <w:t>200</w:t>
      </w:r>
      <w:r w:rsidR="000B5FC0">
        <w:t>,</w:t>
      </w:r>
      <w:r w:rsidR="00B478B7">
        <w:t xml:space="preserve"> Max: 200</w:t>
      </w:r>
    </w:p>
    <w:p w:rsidR="00613279" w:rsidRPr="00366F08" w:rsidRDefault="00613279" w:rsidP="00366F08">
      <w:pPr>
        <w:rPr>
          <w:b/>
          <w:bCs/>
          <w:szCs w:val="24"/>
        </w:rPr>
      </w:pPr>
      <w:r w:rsidRPr="00366F08">
        <w:rPr>
          <w:b/>
          <w:bCs/>
          <w:szCs w:val="24"/>
        </w:rPr>
        <w:t xml:space="preserve">Word count for </w:t>
      </w:r>
      <w:r w:rsidR="00F16387" w:rsidRPr="00366F08">
        <w:rPr>
          <w:b/>
          <w:bCs/>
          <w:szCs w:val="24"/>
        </w:rPr>
        <w:t xml:space="preserve">manuscript </w:t>
      </w:r>
      <w:r w:rsidRPr="00366F08">
        <w:rPr>
          <w:b/>
          <w:bCs/>
          <w:szCs w:val="24"/>
        </w:rPr>
        <w:t xml:space="preserve">text: </w:t>
      </w:r>
      <w:r w:rsidR="00F537BC">
        <w:rPr>
          <w:szCs w:val="24"/>
        </w:rPr>
        <w:t>1,</w:t>
      </w:r>
      <w:r w:rsidR="004C524C">
        <w:rPr>
          <w:szCs w:val="24"/>
        </w:rPr>
        <w:t>312</w:t>
      </w:r>
      <w:r w:rsidR="00B478B7" w:rsidRPr="00366F08">
        <w:rPr>
          <w:szCs w:val="24"/>
        </w:rPr>
        <w:t xml:space="preserve"> </w:t>
      </w:r>
      <w:r w:rsidR="00F16387" w:rsidRPr="00366F08">
        <w:rPr>
          <w:szCs w:val="24"/>
        </w:rPr>
        <w:t>(</w:t>
      </w:r>
      <w:r w:rsidR="00F50C5A" w:rsidRPr="00366F08">
        <w:rPr>
          <w:szCs w:val="24"/>
        </w:rPr>
        <w:t xml:space="preserve">excluding title page, </w:t>
      </w:r>
      <w:r w:rsidR="00217836">
        <w:rPr>
          <w:szCs w:val="24"/>
        </w:rPr>
        <w:t xml:space="preserve">concise </w:t>
      </w:r>
      <w:r w:rsidR="00F50C5A" w:rsidRPr="00366F08">
        <w:rPr>
          <w:szCs w:val="24"/>
        </w:rPr>
        <w:t>methods, figure legends, tables and references</w:t>
      </w:r>
      <w:r w:rsidR="00F16387" w:rsidRPr="00366F08">
        <w:rPr>
          <w:szCs w:val="24"/>
        </w:rPr>
        <w:t>)</w:t>
      </w:r>
      <w:r w:rsidR="008A4057">
        <w:rPr>
          <w:szCs w:val="24"/>
        </w:rPr>
        <w:t>.</w:t>
      </w:r>
      <w:r w:rsidR="00B478B7">
        <w:rPr>
          <w:szCs w:val="24"/>
        </w:rPr>
        <w:t xml:space="preserve"> Max: 1,500</w:t>
      </w:r>
    </w:p>
    <w:p w:rsidR="00A62C51" w:rsidRPr="008D626A" w:rsidRDefault="00A62C51" w:rsidP="00512B3C">
      <w:pPr>
        <w:spacing w:after="0"/>
        <w:rPr>
          <w:b/>
          <w:lang w:eastAsia="ko-KR"/>
        </w:rPr>
      </w:pPr>
      <w:r w:rsidRPr="008D626A">
        <w:rPr>
          <w:b/>
          <w:lang w:eastAsia="ko-KR"/>
        </w:rPr>
        <w:t xml:space="preserve">Corresponding author: </w:t>
      </w:r>
    </w:p>
    <w:p w:rsidR="00A62C51" w:rsidRPr="002A1FD6" w:rsidRDefault="00A62C51" w:rsidP="00AF172E">
      <w:pPr>
        <w:spacing w:after="0"/>
      </w:pPr>
      <w:r w:rsidRPr="002A1FD6">
        <w:t xml:space="preserve">Yi Li, PhD </w:t>
      </w:r>
    </w:p>
    <w:p w:rsidR="00A62C51" w:rsidRPr="002A1FD6" w:rsidRDefault="00A62C51" w:rsidP="00AF172E">
      <w:pPr>
        <w:spacing w:after="0"/>
      </w:pPr>
      <w:r w:rsidRPr="002A1FD6">
        <w:t xml:space="preserve">Professor of </w:t>
      </w:r>
      <w:r w:rsidR="00AC0B32" w:rsidRPr="002A1FD6">
        <w:t>Biostatistics</w:t>
      </w:r>
      <w:r w:rsidRPr="002A1FD6">
        <w:t xml:space="preserve">, </w:t>
      </w:r>
      <w:r w:rsidR="005F124E">
        <w:t xml:space="preserve">Department of Biostatistics, </w:t>
      </w:r>
      <w:r w:rsidR="00AC0B32" w:rsidRPr="002A1FD6">
        <w:t>School of Public Health</w:t>
      </w:r>
    </w:p>
    <w:p w:rsidR="00A62C51" w:rsidRPr="002A1FD6" w:rsidRDefault="00A62C51" w:rsidP="00AF172E">
      <w:pPr>
        <w:spacing w:after="0"/>
      </w:pPr>
      <w:r w:rsidRPr="002A1FD6">
        <w:t>Director, University of Michigan-Kidn</w:t>
      </w:r>
      <w:r w:rsidR="0040476A" w:rsidRPr="002A1FD6">
        <w:t>ey Epidemiology and Cost Center</w:t>
      </w:r>
    </w:p>
    <w:p w:rsidR="00A62C51" w:rsidRPr="002A1FD6" w:rsidRDefault="00A62C51" w:rsidP="00AF172E">
      <w:pPr>
        <w:spacing w:after="0"/>
      </w:pPr>
      <w:r w:rsidRPr="002A1FD6">
        <w:t>1415 Washington Heights, Suite 3645 SPH I, Ann Arbor, MI 48109-2029</w:t>
      </w:r>
    </w:p>
    <w:p w:rsidR="00A62C51" w:rsidRPr="00623615" w:rsidRDefault="00A62C51" w:rsidP="00AF172E">
      <w:pPr>
        <w:spacing w:after="0"/>
      </w:pPr>
      <w:r w:rsidRPr="00623615">
        <w:t>Phone: 734-763-6611</w:t>
      </w:r>
    </w:p>
    <w:p w:rsidR="00A62C51" w:rsidRPr="00623615" w:rsidRDefault="00A62C51" w:rsidP="00AF172E">
      <w:pPr>
        <w:spacing w:after="0"/>
      </w:pPr>
      <w:r w:rsidRPr="00623615">
        <w:t>Fax: 734-763-4004</w:t>
      </w:r>
    </w:p>
    <w:p w:rsidR="00DD67D2" w:rsidRPr="00623615" w:rsidRDefault="00A62C51" w:rsidP="00AF172E">
      <w:pPr>
        <w:spacing w:after="0"/>
      </w:pPr>
      <w:r w:rsidRPr="00623615">
        <w:t xml:space="preserve">E-mail: </w:t>
      </w:r>
      <w:hyperlink r:id="rId12" w:history="1">
        <w:r w:rsidR="00DD67D2" w:rsidRPr="00623615">
          <w:t>yili@umich.edu</w:t>
        </w:r>
      </w:hyperlink>
    </w:p>
    <w:p w:rsidR="00DD67D2" w:rsidRDefault="00DD67D2">
      <w:pPr>
        <w:spacing w:after="0" w:line="240" w:lineRule="auto"/>
        <w:rPr>
          <w:rFonts w:asciiTheme="minorHAnsi" w:hAnsiTheme="minorHAnsi"/>
          <w:color w:val="000000"/>
          <w:lang w:val="fr-FR" w:eastAsia="ko-KR"/>
        </w:rPr>
      </w:pPr>
      <w:r>
        <w:rPr>
          <w:rFonts w:asciiTheme="minorHAnsi" w:hAnsiTheme="minorHAnsi"/>
          <w:color w:val="000000"/>
          <w:lang w:val="fr-FR" w:eastAsia="ko-KR"/>
        </w:rPr>
        <w:br w:type="page"/>
      </w:r>
    </w:p>
    <w:p w:rsidR="003A473E" w:rsidRPr="002A1FD6" w:rsidRDefault="003A473E" w:rsidP="00F67D7F">
      <w:pPr>
        <w:pStyle w:val="Heading2"/>
      </w:pPr>
      <w:r w:rsidRPr="00F67D7F">
        <w:lastRenderedPageBreak/>
        <w:t>Abstract</w:t>
      </w:r>
      <w:r w:rsidRPr="002A1FD6">
        <w:t xml:space="preserve"> </w:t>
      </w:r>
    </w:p>
    <w:p w:rsidR="005F5E37" w:rsidRPr="002A1FD6" w:rsidRDefault="003A473E" w:rsidP="00DE73FE">
      <w:pPr>
        <w:spacing w:after="120" w:line="480" w:lineRule="auto"/>
      </w:pPr>
      <w:r w:rsidRPr="002A1FD6">
        <w:t>Standardized Mortality Ratios</w:t>
      </w:r>
      <w:r w:rsidR="00587B7F" w:rsidRPr="002A1FD6">
        <w:t xml:space="preserve"> (SMRs)</w:t>
      </w:r>
      <w:r w:rsidR="009F78F2" w:rsidRPr="002A1FD6">
        <w:t xml:space="preserve"> </w:t>
      </w:r>
      <w:r w:rsidR="002435BF">
        <w:t xml:space="preserve">reported by Medicare </w:t>
      </w:r>
      <w:r w:rsidR="009F78F2" w:rsidRPr="002A1FD6">
        <w:t>compare</w:t>
      </w:r>
      <w:r w:rsidR="00A43D44" w:rsidRPr="002A1FD6">
        <w:t xml:space="preserve"> mortality at individual dialysis facilities to </w:t>
      </w:r>
      <w:r w:rsidR="00EF2390">
        <w:t>the national average</w:t>
      </w:r>
      <w:r w:rsidRPr="002A1FD6">
        <w:t xml:space="preserve">. </w:t>
      </w:r>
      <w:r w:rsidR="002435BF">
        <w:t>SMRs currently adjust for race</w:t>
      </w:r>
      <w:r w:rsidR="00EF09AA">
        <w:t xml:space="preserve">. It </w:t>
      </w:r>
      <w:r w:rsidR="00EF2390">
        <w:t xml:space="preserve">is </w:t>
      </w:r>
      <w:r w:rsidR="00EF09AA">
        <w:t xml:space="preserve">important </w:t>
      </w:r>
      <w:r w:rsidR="00EF2390">
        <w:t>to study</w:t>
      </w:r>
      <w:r w:rsidR="00205BC9">
        <w:t xml:space="preserve"> the impact of</w:t>
      </w:r>
      <w:r w:rsidR="00FC2E8E" w:rsidRPr="002A1FD6">
        <w:t xml:space="preserve"> </w:t>
      </w:r>
      <w:r w:rsidR="002306BB">
        <w:t xml:space="preserve">race </w:t>
      </w:r>
      <w:r w:rsidR="00FC2E8E" w:rsidRPr="002A1FD6">
        <w:t>adjustme</w:t>
      </w:r>
      <w:r w:rsidR="00EF2390">
        <w:t>nt</w:t>
      </w:r>
      <w:r w:rsidR="00501A96">
        <w:t xml:space="preserve">, </w:t>
      </w:r>
      <w:r w:rsidR="00D60E46">
        <w:t xml:space="preserve">to better understand if the adjustment obscures or </w:t>
      </w:r>
      <w:r w:rsidR="005B0720">
        <w:t xml:space="preserve">clarifies </w:t>
      </w:r>
      <w:r w:rsidR="00593F43">
        <w:t>disparities</w:t>
      </w:r>
      <w:r w:rsidR="00593F43" w:rsidRPr="002A1FD6">
        <w:t xml:space="preserve"> </w:t>
      </w:r>
      <w:r w:rsidR="000051A0" w:rsidRPr="002A1FD6">
        <w:t>in quality of care for minority groups.</w:t>
      </w:r>
      <w:r w:rsidR="00AC6193" w:rsidRPr="002A1FD6">
        <w:t xml:space="preserve"> </w:t>
      </w:r>
    </w:p>
    <w:p w:rsidR="00135A2F" w:rsidRPr="002A1FD6" w:rsidRDefault="009D5BFD" w:rsidP="00DE73FE">
      <w:pPr>
        <w:spacing w:after="120" w:line="480" w:lineRule="auto"/>
      </w:pPr>
      <w:r>
        <w:t>We</w:t>
      </w:r>
      <w:r w:rsidR="00261FEF">
        <w:t xml:space="preserve"> computed </w:t>
      </w:r>
      <w:r w:rsidR="001A75E8" w:rsidRPr="002A1FD6">
        <w:t xml:space="preserve">Cox-model based </w:t>
      </w:r>
      <w:r w:rsidR="00F53D2A" w:rsidRPr="002A1FD6">
        <w:t xml:space="preserve">SMRs for each facility with and without adjustment for patient race. The study population included virtually all dialysis patients treated in US dialysis facilities </w:t>
      </w:r>
      <w:r w:rsidR="005969E8">
        <w:t>during</w:t>
      </w:r>
      <w:r w:rsidR="005969E8" w:rsidRPr="002A1FD6">
        <w:t xml:space="preserve"> </w:t>
      </w:r>
      <w:r w:rsidR="00F53D2A" w:rsidRPr="002A1FD6">
        <w:t>2010.</w:t>
      </w:r>
      <w:r w:rsidR="00135A2F" w:rsidRPr="002A1FD6">
        <w:t xml:space="preserve"> </w:t>
      </w:r>
    </w:p>
    <w:p w:rsidR="00135A2F" w:rsidRPr="002A1FD6" w:rsidRDefault="00D57384" w:rsidP="00DE73FE">
      <w:pPr>
        <w:spacing w:after="120" w:line="480" w:lineRule="auto"/>
      </w:pPr>
      <w:r w:rsidRPr="002A1FD6">
        <w:t xml:space="preserve">Without </w:t>
      </w:r>
      <w:r w:rsidR="00493559" w:rsidRPr="002A1FD6">
        <w:t xml:space="preserve">race </w:t>
      </w:r>
      <w:r w:rsidRPr="002A1FD6">
        <w:t>adjustment, facilities with higher proportions of black patients have</w:t>
      </w:r>
      <w:r w:rsidR="00493559" w:rsidRPr="002A1FD6">
        <w:t xml:space="preserve"> </w:t>
      </w:r>
      <w:r w:rsidRPr="002A1FD6">
        <w:t xml:space="preserve">better survival </w:t>
      </w:r>
      <w:r w:rsidR="00176DE7" w:rsidRPr="002A1FD6">
        <w:t>outcomes</w:t>
      </w:r>
      <w:r w:rsidR="006410D3">
        <w:t>:</w:t>
      </w:r>
      <w:r w:rsidR="00176DE7" w:rsidRPr="002A1FD6">
        <w:t xml:space="preserve"> </w:t>
      </w:r>
      <w:r w:rsidRPr="002A1FD6">
        <w:t>facilities with the highest percentage of black patients</w:t>
      </w:r>
      <w:r w:rsidR="00CC23BA">
        <w:t xml:space="preserve"> (top 10%)</w:t>
      </w:r>
      <w:r w:rsidRPr="002A1FD6">
        <w:t xml:space="preserve"> </w:t>
      </w:r>
      <w:r w:rsidR="003E26CA" w:rsidRPr="002A1FD6">
        <w:t>ha</w:t>
      </w:r>
      <w:r w:rsidR="003E26CA">
        <w:t>ve</w:t>
      </w:r>
      <w:r w:rsidR="003E26CA" w:rsidRPr="002A1FD6">
        <w:t xml:space="preserve"> </w:t>
      </w:r>
      <w:r w:rsidRPr="002A1FD6">
        <w:t xml:space="preserve">overall mortality rates </w:t>
      </w:r>
      <w:r w:rsidR="00506CC2">
        <w:t>approximately 7</w:t>
      </w:r>
      <w:r w:rsidRPr="002A1FD6">
        <w:t xml:space="preserve">% lower than expected. </w:t>
      </w:r>
      <w:r w:rsidR="00176DE7" w:rsidRPr="002A1FD6">
        <w:t>After</w:t>
      </w:r>
      <w:r w:rsidRPr="002A1FD6">
        <w:t xml:space="preserve"> adjust</w:t>
      </w:r>
      <w:r w:rsidR="00176DE7" w:rsidRPr="002A1FD6">
        <w:t>ing</w:t>
      </w:r>
      <w:r w:rsidRPr="002A1FD6">
        <w:t xml:space="preserve"> for</w:t>
      </w:r>
      <w:r w:rsidR="00176DE7" w:rsidRPr="002A1FD6">
        <w:t xml:space="preserve"> </w:t>
      </w:r>
      <w:r w:rsidR="00CC23BA">
        <w:t xml:space="preserve">within-facility </w:t>
      </w:r>
      <w:r w:rsidR="00176DE7" w:rsidRPr="002A1FD6">
        <w:t>rac</w:t>
      </w:r>
      <w:r w:rsidR="00CC23BA">
        <w:t>ial differences</w:t>
      </w:r>
      <w:r w:rsidRPr="002A1FD6">
        <w:t>, facilities with higher proportions of black patients ha</w:t>
      </w:r>
      <w:r w:rsidR="00176DE7" w:rsidRPr="002A1FD6">
        <w:t>ve</w:t>
      </w:r>
      <w:r w:rsidRPr="002A1FD6">
        <w:t xml:space="preserve"> </w:t>
      </w:r>
      <w:r w:rsidR="000E4DE5">
        <w:t>poorer</w:t>
      </w:r>
      <w:r w:rsidR="004048AB" w:rsidRPr="002A1FD6">
        <w:t xml:space="preserve"> </w:t>
      </w:r>
      <w:r w:rsidRPr="002A1FD6">
        <w:t xml:space="preserve">survival outcomes </w:t>
      </w:r>
      <w:r w:rsidR="00176DE7" w:rsidRPr="002A1FD6">
        <w:t xml:space="preserve">among </w:t>
      </w:r>
      <w:r w:rsidRPr="002A1FD6">
        <w:t>both black and non-black</w:t>
      </w:r>
      <w:r w:rsidR="00176DE7" w:rsidRPr="002A1FD6">
        <w:t xml:space="preserve"> patient</w:t>
      </w:r>
      <w:r w:rsidRPr="002A1FD6">
        <w:t>s</w:t>
      </w:r>
      <w:r w:rsidR="00D556DE">
        <w:t>:</w:t>
      </w:r>
      <w:r w:rsidRPr="002A1FD6">
        <w:t xml:space="preserve"> facilities with the highest percentage of black patients </w:t>
      </w:r>
      <w:r w:rsidR="00CC23BA">
        <w:t xml:space="preserve">(top 10%) </w:t>
      </w:r>
      <w:r w:rsidR="000812B8" w:rsidRPr="002A1FD6">
        <w:t>ha</w:t>
      </w:r>
      <w:r w:rsidR="000812B8">
        <w:t>ve</w:t>
      </w:r>
      <w:r w:rsidR="000812B8" w:rsidRPr="002A1FD6">
        <w:t xml:space="preserve"> </w:t>
      </w:r>
      <w:r w:rsidR="001C249E" w:rsidRPr="002A1FD6">
        <w:t xml:space="preserve">mortality rates </w:t>
      </w:r>
      <w:r w:rsidR="00506CC2">
        <w:t>approximately 6</w:t>
      </w:r>
      <w:r w:rsidRPr="002A1FD6">
        <w:t xml:space="preserve">% worse than expected. </w:t>
      </w:r>
    </w:p>
    <w:p w:rsidR="003A473E" w:rsidRPr="002A1FD6" w:rsidRDefault="00CC23BA" w:rsidP="00DE73FE">
      <w:pPr>
        <w:spacing w:after="120" w:line="480" w:lineRule="auto"/>
      </w:pPr>
      <w:r>
        <w:t>Accounting for</w:t>
      </w:r>
      <w:r w:rsidR="007B0497" w:rsidRPr="002A1FD6">
        <w:t xml:space="preserve"> </w:t>
      </w:r>
      <w:r>
        <w:t xml:space="preserve">within-facility </w:t>
      </w:r>
      <w:r w:rsidR="007B0497" w:rsidRPr="002A1FD6">
        <w:t>rac</w:t>
      </w:r>
      <w:r>
        <w:t>ial differences</w:t>
      </w:r>
      <w:r w:rsidR="007B0497" w:rsidRPr="002A1FD6">
        <w:t xml:space="preserve"> </w:t>
      </w:r>
      <w:r w:rsidR="00B57B62" w:rsidRPr="002A1FD6">
        <w:t xml:space="preserve">in </w:t>
      </w:r>
      <w:r>
        <w:t xml:space="preserve">the computation of </w:t>
      </w:r>
      <w:r w:rsidR="00B57B62" w:rsidRPr="002A1FD6">
        <w:t>SMR</w:t>
      </w:r>
      <w:r w:rsidR="007B0497" w:rsidRPr="002A1FD6">
        <w:t xml:space="preserve"> </w:t>
      </w:r>
      <w:r w:rsidR="005D5373">
        <w:t>helps clarify</w:t>
      </w:r>
      <w:r w:rsidR="00FC2E8E" w:rsidRPr="002A1FD6">
        <w:t xml:space="preserve"> disparities in </w:t>
      </w:r>
      <w:r w:rsidR="007B0497" w:rsidRPr="002A1FD6">
        <w:t>quality of</w:t>
      </w:r>
      <w:r w:rsidR="00FC2E8E" w:rsidRPr="002A1FD6">
        <w:t xml:space="preserve"> health care</w:t>
      </w:r>
      <w:r w:rsidR="00176DE7" w:rsidRPr="002A1FD6">
        <w:t xml:space="preserve"> among ESRD patients</w:t>
      </w:r>
      <w:r w:rsidR="00FC2E8E" w:rsidRPr="002A1FD6">
        <w:t xml:space="preserve">. </w:t>
      </w:r>
      <w:r>
        <w:t>The adjustment that accommodates within-facility comparisons</w:t>
      </w:r>
      <w:r w:rsidR="0008263C" w:rsidRPr="002A1FD6">
        <w:t xml:space="preserve"> </w:t>
      </w:r>
      <w:r>
        <w:t>is key</w:t>
      </w:r>
      <w:r w:rsidR="008A7414">
        <w:t>,</w:t>
      </w:r>
      <w:r>
        <w:t xml:space="preserve"> as it </w:t>
      </w:r>
      <w:r w:rsidR="0039505D" w:rsidRPr="002A1FD6">
        <w:t xml:space="preserve">could </w:t>
      </w:r>
      <w:r w:rsidR="004E660B">
        <w:t xml:space="preserve">also </w:t>
      </w:r>
      <w:r w:rsidR="002C7416" w:rsidRPr="002A1FD6">
        <w:t xml:space="preserve">clarify relationships between </w:t>
      </w:r>
      <w:r w:rsidR="0008263C" w:rsidRPr="002A1FD6">
        <w:t xml:space="preserve">patient characteristics </w:t>
      </w:r>
      <w:r w:rsidR="002C7416" w:rsidRPr="002A1FD6">
        <w:t>and</w:t>
      </w:r>
      <w:r w:rsidR="008716D2" w:rsidRPr="002A1FD6">
        <w:t xml:space="preserve"> </w:t>
      </w:r>
      <w:r w:rsidR="00092B31" w:rsidRPr="002A1FD6">
        <w:t xml:space="preserve">health care provider </w:t>
      </w:r>
      <w:r w:rsidR="0072578A">
        <w:t>outcomes</w:t>
      </w:r>
      <w:r w:rsidR="00BF130D">
        <w:t xml:space="preserve"> </w:t>
      </w:r>
      <w:r w:rsidR="00135A2F" w:rsidRPr="002A1FD6">
        <w:t>in other settings</w:t>
      </w:r>
      <w:r w:rsidR="009C3407">
        <w:t>.</w:t>
      </w:r>
      <w:r w:rsidR="00217795">
        <w:t xml:space="preserve"> </w:t>
      </w:r>
    </w:p>
    <w:p w:rsidR="00135A2F" w:rsidRPr="002A1FD6" w:rsidRDefault="00135A2F">
      <w:pPr>
        <w:spacing w:after="0" w:line="240" w:lineRule="auto"/>
        <w:rPr>
          <w:b/>
        </w:rPr>
      </w:pPr>
      <w:r w:rsidRPr="002A1FD6">
        <w:rPr>
          <w:b/>
        </w:rPr>
        <w:br w:type="page"/>
      </w:r>
    </w:p>
    <w:p w:rsidR="003A473E" w:rsidRPr="002A1FD6" w:rsidRDefault="00972E3F" w:rsidP="005E7992">
      <w:pPr>
        <w:pStyle w:val="Heading2"/>
      </w:pPr>
      <w:r w:rsidRPr="002A1FD6">
        <w:t>Introduction</w:t>
      </w:r>
    </w:p>
    <w:p w:rsidR="00746161" w:rsidRDefault="00910735" w:rsidP="00D33DEB">
      <w:pPr>
        <w:spacing w:after="0" w:line="480" w:lineRule="auto"/>
      </w:pPr>
      <w:r w:rsidRPr="002A1FD6">
        <w:t xml:space="preserve">The </w:t>
      </w:r>
      <w:r w:rsidR="002F31C7" w:rsidRPr="002A1FD6">
        <w:t>Standardized Mortality Ratio (SMR), which compare</w:t>
      </w:r>
      <w:r w:rsidRPr="002A1FD6">
        <w:t>s</w:t>
      </w:r>
      <w:r w:rsidR="002F31C7" w:rsidRPr="002A1FD6">
        <w:t xml:space="preserve"> mortality at</w:t>
      </w:r>
      <w:r w:rsidR="00804CC4">
        <w:t xml:space="preserve"> each </w:t>
      </w:r>
      <w:r w:rsidR="002F31C7" w:rsidRPr="002A1FD6">
        <w:t xml:space="preserve">dialysis </w:t>
      </w:r>
      <w:r w:rsidR="00396C4E" w:rsidRPr="002A1FD6">
        <w:t>facilit</w:t>
      </w:r>
      <w:r w:rsidR="00396C4E">
        <w:t>y</w:t>
      </w:r>
      <w:r w:rsidR="00396C4E" w:rsidRPr="002A1FD6">
        <w:t xml:space="preserve"> </w:t>
      </w:r>
      <w:r w:rsidR="002F31C7" w:rsidRPr="002A1FD6">
        <w:t>to the overall mortality</w:t>
      </w:r>
      <w:r w:rsidR="0008263C" w:rsidRPr="002A1FD6">
        <w:t xml:space="preserve"> </w:t>
      </w:r>
      <w:r w:rsidRPr="002A1FD6">
        <w:t xml:space="preserve">of US </w:t>
      </w:r>
      <w:r w:rsidR="0008263C" w:rsidRPr="002A1FD6">
        <w:t xml:space="preserve">dialysis </w:t>
      </w:r>
      <w:r w:rsidRPr="002A1FD6">
        <w:t>patients</w:t>
      </w:r>
      <w:r w:rsidR="004967F3" w:rsidRPr="002A1FD6">
        <w:t>,</w:t>
      </w:r>
      <w:r w:rsidRPr="002A1FD6">
        <w:t xml:space="preserve"> is </w:t>
      </w:r>
      <w:r w:rsidR="00396C4E">
        <w:t xml:space="preserve">reported </w:t>
      </w:r>
      <w:r w:rsidR="002F31C7" w:rsidRPr="002A1FD6">
        <w:t>in the annual US Dialysis Facility Reports</w:t>
      </w:r>
      <w:r w:rsidR="00016A35">
        <w:rPr>
          <w:rStyle w:val="EndnoteReference"/>
        </w:rPr>
        <w:endnoteReference w:id="2"/>
      </w:r>
      <w:r w:rsidR="00016A35">
        <w:t xml:space="preserve"> </w:t>
      </w:r>
      <w:r w:rsidR="00804CC4">
        <w:t xml:space="preserve">and as a public measure </w:t>
      </w:r>
      <w:r w:rsidR="00DF22A9" w:rsidRPr="002A1FD6">
        <w:t>on the Centers for Medicare and Medicaid Services (CMS) Dialysis Facility Compare website.</w:t>
      </w:r>
      <w:r w:rsidR="007F51E7">
        <w:rPr>
          <w:rStyle w:val="EndnoteReference"/>
        </w:rPr>
        <w:endnoteReference w:id="3"/>
      </w:r>
      <w:r w:rsidR="00872A06" w:rsidRPr="002A1FD6">
        <w:t xml:space="preserve"> These reports </w:t>
      </w:r>
      <w:r w:rsidR="0008263C" w:rsidRPr="002A1FD6">
        <w:t xml:space="preserve">are </w:t>
      </w:r>
      <w:r w:rsidR="00872A06" w:rsidRPr="002A1FD6">
        <w:t xml:space="preserve">used by government agencies </w:t>
      </w:r>
      <w:r w:rsidR="002F31C7" w:rsidRPr="002A1FD6">
        <w:t>and</w:t>
      </w:r>
      <w:r w:rsidR="00872A06" w:rsidRPr="002A1FD6">
        <w:t xml:space="preserve"> dialysis facilities</w:t>
      </w:r>
      <w:r w:rsidR="002F31C7" w:rsidRPr="002A1FD6">
        <w:t xml:space="preserve"> with </w:t>
      </w:r>
      <w:r w:rsidR="00E56393" w:rsidRPr="002A1FD6">
        <w:t xml:space="preserve">the goal of </w:t>
      </w:r>
      <w:r w:rsidR="0008263C" w:rsidRPr="002A1FD6">
        <w:t xml:space="preserve">improving </w:t>
      </w:r>
      <w:r w:rsidR="00804CC4">
        <w:t>the</w:t>
      </w:r>
      <w:r w:rsidR="00872A06" w:rsidRPr="002A1FD6">
        <w:t xml:space="preserve"> quality</w:t>
      </w:r>
      <w:r w:rsidR="00804CC4">
        <w:t xml:space="preserve"> of</w:t>
      </w:r>
      <w:r w:rsidR="00872A06" w:rsidRPr="002A1FD6">
        <w:t xml:space="preserve"> health care to more than </w:t>
      </w:r>
      <w:r w:rsidR="00836ADB" w:rsidRPr="002A1FD6">
        <w:t>half</w:t>
      </w:r>
      <w:r w:rsidR="00A62C51" w:rsidRPr="002A1FD6">
        <w:t xml:space="preserve"> a</w:t>
      </w:r>
      <w:r w:rsidR="00836ADB" w:rsidRPr="002A1FD6">
        <w:t xml:space="preserve"> million</w:t>
      </w:r>
      <w:r w:rsidR="00872A06" w:rsidRPr="002A1FD6">
        <w:t xml:space="preserve"> </w:t>
      </w:r>
      <w:r w:rsidR="00804CC4">
        <w:t xml:space="preserve">US </w:t>
      </w:r>
      <w:r w:rsidR="00872A06" w:rsidRPr="002A1FD6">
        <w:t>dialysis patients.</w:t>
      </w:r>
      <w:r w:rsidR="00061389">
        <w:t xml:space="preserve"> </w:t>
      </w:r>
    </w:p>
    <w:p w:rsidR="00057412" w:rsidRDefault="00057412" w:rsidP="00D33DEB">
      <w:pPr>
        <w:spacing w:after="0" w:line="480" w:lineRule="auto"/>
      </w:pPr>
    </w:p>
    <w:p w:rsidR="000B6095" w:rsidRDefault="00642261" w:rsidP="00D33DEB">
      <w:pPr>
        <w:spacing w:after="0" w:line="480" w:lineRule="auto"/>
      </w:pPr>
      <w:r>
        <w:t xml:space="preserve">Our purpose in this paper is to explain the rationale </w:t>
      </w:r>
      <w:r w:rsidR="00920B31">
        <w:t xml:space="preserve">for the inclusion of </w:t>
      </w:r>
      <w:r>
        <w:t xml:space="preserve">race in the SMR model. </w:t>
      </w:r>
      <w:r w:rsidR="00443064">
        <w:t>In 2011, t</w:t>
      </w:r>
      <w:r>
        <w:t xml:space="preserve">he rationale led to the National Quality Forum’s approval of this race adjusted measure despite that organization’s </w:t>
      </w:r>
      <w:r w:rsidR="00443064">
        <w:t xml:space="preserve">standing </w:t>
      </w:r>
      <w:r w:rsidR="002B787D">
        <w:t xml:space="preserve">policy and </w:t>
      </w:r>
      <w:r>
        <w:t xml:space="preserve">general concern </w:t>
      </w:r>
      <w:r w:rsidR="0088117A">
        <w:t xml:space="preserve">about </w:t>
      </w:r>
      <w:r w:rsidR="002B787D">
        <w:t>adjustments</w:t>
      </w:r>
      <w:r w:rsidR="00F21022">
        <w:t xml:space="preserve"> </w:t>
      </w:r>
      <w:r w:rsidR="002B787D">
        <w:t xml:space="preserve">that </w:t>
      </w:r>
      <w:r>
        <w:t>obscur</w:t>
      </w:r>
      <w:r w:rsidR="002B787D">
        <w:t xml:space="preserve">e </w:t>
      </w:r>
      <w:r>
        <w:t>disparities in outcome</w:t>
      </w:r>
      <w:r w:rsidR="00F21022">
        <w:t>s</w:t>
      </w:r>
      <w:r>
        <w:t xml:space="preserve"> for disadvantaged populations.</w:t>
      </w:r>
      <w:r w:rsidRPr="002A1FD6">
        <w:rPr>
          <w:vertAlign w:val="superscript"/>
        </w:rPr>
        <w:t xml:space="preserve"> </w:t>
      </w:r>
      <w:r>
        <w:rPr>
          <w:rStyle w:val="EndnoteReference"/>
        </w:rPr>
        <w:endnoteReference w:id="4"/>
      </w:r>
      <w:r>
        <w:rPr>
          <w:vertAlign w:val="superscript"/>
        </w:rPr>
        <w:t xml:space="preserve"> </w:t>
      </w:r>
    </w:p>
    <w:p w:rsidR="003510A3" w:rsidRDefault="003510A3" w:rsidP="00D33DEB">
      <w:pPr>
        <w:spacing w:after="0" w:line="480" w:lineRule="auto"/>
      </w:pPr>
    </w:p>
    <w:p w:rsidR="00B7434F" w:rsidRDefault="002F31C7" w:rsidP="00B7434F">
      <w:pPr>
        <w:spacing w:after="0" w:line="480" w:lineRule="auto"/>
      </w:pPr>
      <w:r w:rsidRPr="002A1FD6">
        <w:t xml:space="preserve">The SMR for a given facility is </w:t>
      </w:r>
      <w:r w:rsidR="00746161" w:rsidRPr="002A1FD6">
        <w:t xml:space="preserve">computed as </w:t>
      </w:r>
      <w:r w:rsidRPr="002A1FD6">
        <w:t>the</w:t>
      </w:r>
      <w:r w:rsidR="00746161" w:rsidRPr="002A1FD6">
        <w:t xml:space="preserve"> ratio </w:t>
      </w:r>
      <w:r w:rsidRPr="002A1FD6">
        <w:t>of</w:t>
      </w:r>
      <w:r w:rsidR="00746161" w:rsidRPr="002A1FD6">
        <w:t xml:space="preserve"> the observed number of </w:t>
      </w:r>
      <w:r w:rsidR="0008263C" w:rsidRPr="002A1FD6">
        <w:t xml:space="preserve">deaths </w:t>
      </w:r>
      <w:r w:rsidR="00746161" w:rsidRPr="002A1FD6">
        <w:t xml:space="preserve">at </w:t>
      </w:r>
      <w:r w:rsidRPr="002A1FD6">
        <w:t>that</w:t>
      </w:r>
      <w:r w:rsidR="00746161" w:rsidRPr="002A1FD6">
        <w:t xml:space="preserve"> facility </w:t>
      </w:r>
      <w:r w:rsidRPr="002A1FD6">
        <w:t>to</w:t>
      </w:r>
      <w:r w:rsidR="00746161" w:rsidRPr="002A1FD6">
        <w:t xml:space="preserve"> the number of </w:t>
      </w:r>
      <w:r w:rsidR="0008263C" w:rsidRPr="002A1FD6">
        <w:t>deaths</w:t>
      </w:r>
      <w:r w:rsidR="00746161" w:rsidRPr="002A1FD6">
        <w:t xml:space="preserve"> expected under a national norm, where the expectation is adjusted to reflect characteristics of </w:t>
      </w:r>
      <w:r w:rsidR="00CE4587" w:rsidRPr="002A1FD6">
        <w:t xml:space="preserve">that facility’s </w:t>
      </w:r>
      <w:r w:rsidR="00746161" w:rsidRPr="002A1FD6">
        <w:t xml:space="preserve">patients. </w:t>
      </w:r>
      <w:r w:rsidR="000566A3">
        <w:t xml:space="preserve"> </w:t>
      </w:r>
      <w:r w:rsidR="00910735" w:rsidRPr="002A1FD6">
        <w:t>R</w:t>
      </w:r>
      <w:r w:rsidR="003A1646" w:rsidRPr="002A1FD6">
        <w:t xml:space="preserve">isk </w:t>
      </w:r>
      <w:r w:rsidR="000775C9" w:rsidRPr="002A1FD6">
        <w:t xml:space="preserve">adjustment is </w:t>
      </w:r>
      <w:r w:rsidR="00746161" w:rsidRPr="002A1FD6">
        <w:t>performed</w:t>
      </w:r>
      <w:r w:rsidR="00B251C4" w:rsidRPr="002A1FD6">
        <w:t xml:space="preserve"> </w:t>
      </w:r>
      <w:r w:rsidR="00226041">
        <w:t>using</w:t>
      </w:r>
      <w:r w:rsidR="00B251C4" w:rsidRPr="002A1FD6">
        <w:t xml:space="preserve"> a</w:t>
      </w:r>
      <w:r w:rsidR="00804CC4">
        <w:t xml:space="preserve"> </w:t>
      </w:r>
      <w:r w:rsidR="001C62F3">
        <w:t>two-</w:t>
      </w:r>
      <w:r w:rsidR="00804CC4">
        <w:t>stage</w:t>
      </w:r>
      <w:r w:rsidR="00B251C4" w:rsidRPr="002A1FD6">
        <w:t xml:space="preserve"> Cox regression </w:t>
      </w:r>
      <w:r w:rsidR="00FE5857" w:rsidRPr="002A1FD6">
        <w:t>model</w:t>
      </w:r>
      <w:r w:rsidR="00733C68">
        <w:t>.</w:t>
      </w:r>
      <w:r w:rsidR="004F6135">
        <w:rPr>
          <w:rStyle w:val="EndnoteReference"/>
        </w:rPr>
        <w:endnoteReference w:id="5"/>
      </w:r>
      <w:r w:rsidR="00290C75">
        <w:rPr>
          <w:vertAlign w:val="superscript"/>
        </w:rPr>
        <w:t>,</w:t>
      </w:r>
      <w:r w:rsidR="00290C75">
        <w:rPr>
          <w:rStyle w:val="EndnoteReference"/>
        </w:rPr>
        <w:endnoteReference w:id="6"/>
      </w:r>
      <w:r w:rsidR="00FE5857" w:rsidRPr="002A1FD6">
        <w:t xml:space="preserve"> </w:t>
      </w:r>
      <w:r w:rsidR="00263DB5">
        <w:t>R</w:t>
      </w:r>
      <w:r w:rsidR="000566A3">
        <w:t xml:space="preserve">ace and ethnicity are </w:t>
      </w:r>
      <w:r w:rsidR="00263DB5">
        <w:t>included as adjustments</w:t>
      </w:r>
      <w:r w:rsidR="000566A3">
        <w:t xml:space="preserve"> in the model. </w:t>
      </w:r>
      <w:r w:rsidR="00B7434F">
        <w:t xml:space="preserve">A key </w:t>
      </w:r>
      <w:r w:rsidR="007F1F5D">
        <w:t>feature</w:t>
      </w:r>
      <w:r w:rsidR="00B7434F">
        <w:t xml:space="preserve"> of </w:t>
      </w:r>
      <w:r w:rsidR="007F1F5D">
        <w:t>our</w:t>
      </w:r>
      <w:r w:rsidR="00B7434F">
        <w:t xml:space="preserve"> approach is that we assess risk factors by comparing outcomes </w:t>
      </w:r>
      <w:r w:rsidR="007F1F5D">
        <w:t xml:space="preserve">of patients with </w:t>
      </w:r>
      <w:r w:rsidR="00B05BDC">
        <w:t xml:space="preserve">varying race and </w:t>
      </w:r>
      <w:r w:rsidR="00D253C3">
        <w:t>ethnicity</w:t>
      </w:r>
      <w:r w:rsidR="00B05BDC">
        <w:t xml:space="preserve"> attributes</w:t>
      </w:r>
      <w:r w:rsidR="00D253C3">
        <w:t xml:space="preserve">, </w:t>
      </w:r>
      <w:r w:rsidR="00B7434F">
        <w:t xml:space="preserve">within facilities. </w:t>
      </w:r>
      <w:r w:rsidR="00181C65">
        <w:t>Applying</w:t>
      </w:r>
      <w:r w:rsidR="00B7434F">
        <w:t xml:space="preserve"> these </w:t>
      </w:r>
      <w:r w:rsidR="00181C65">
        <w:t xml:space="preserve">within facility </w:t>
      </w:r>
      <w:r w:rsidR="00B7434F">
        <w:t>adjustments</w:t>
      </w:r>
      <w:r w:rsidR="00181C65">
        <w:t xml:space="preserve"> in</w:t>
      </w:r>
      <w:r w:rsidR="00B7434F">
        <w:t xml:space="preserve"> the SMR then allows comparison </w:t>
      </w:r>
      <w:r w:rsidR="00281279">
        <w:t xml:space="preserve">of outcomes </w:t>
      </w:r>
      <w:r w:rsidR="00B7434F">
        <w:t>between facilities. This approach avoids confounding between patient characteristics and facility effects.</w:t>
      </w:r>
      <w:r w:rsidR="00B7434F" w:rsidRPr="00671872">
        <w:t xml:space="preserve"> </w:t>
      </w:r>
    </w:p>
    <w:p w:rsidR="00057412" w:rsidRDefault="00057412" w:rsidP="00B7434F">
      <w:pPr>
        <w:spacing w:after="0" w:line="480" w:lineRule="auto"/>
      </w:pPr>
    </w:p>
    <w:p w:rsidR="00EE5888" w:rsidRDefault="00EE5888" w:rsidP="00C6644A">
      <w:pPr>
        <w:spacing w:after="0" w:line="480" w:lineRule="auto"/>
      </w:pPr>
      <w:r>
        <w:t xml:space="preserve">Adjustment for race can </w:t>
      </w:r>
      <w:r w:rsidR="0002325B">
        <w:t xml:space="preserve">potentially </w:t>
      </w:r>
      <w:r>
        <w:t xml:space="preserve">mask racial disparities </w:t>
      </w:r>
      <w:r w:rsidRPr="002A1FD6">
        <w:t>when racial minorities tend to receive poor health care</w:t>
      </w:r>
      <w:r w:rsidR="00232EF0">
        <w:t>,</w:t>
      </w:r>
      <w:r w:rsidRPr="002A1FD6">
        <w:t xml:space="preserve"> leading to poorer outcomes than other patients on average.</w:t>
      </w:r>
      <w:r w:rsidR="00D84BF2">
        <w:rPr>
          <w:rStyle w:val="EndnoteReference"/>
        </w:rPr>
        <w:endnoteReference w:id="7"/>
      </w:r>
      <w:r w:rsidR="00D84BF2">
        <w:t xml:space="preserve"> </w:t>
      </w:r>
      <w:r w:rsidR="00357F56">
        <w:t>Some authors have suggested</w:t>
      </w:r>
      <w:r>
        <w:t xml:space="preserve"> that black dialysis patients tend to have better survival outcomes than </w:t>
      </w:r>
      <w:r w:rsidR="00EE12F0">
        <w:t xml:space="preserve">white </w:t>
      </w:r>
      <w:r>
        <w:t xml:space="preserve">patients </w:t>
      </w:r>
      <w:r w:rsidR="00DD5FA1">
        <w:t>and</w:t>
      </w:r>
      <w:r>
        <w:t xml:space="preserve"> other racial groups</w:t>
      </w:r>
      <w:r w:rsidR="0050419A">
        <w:t>.</w:t>
      </w:r>
      <w:r w:rsidR="0050419A">
        <w:rPr>
          <w:rStyle w:val="EndnoteReference"/>
        </w:rPr>
        <w:endnoteReference w:id="8"/>
      </w:r>
      <w:r w:rsidR="008978BC" w:rsidRPr="0004311F">
        <w:rPr>
          <w:vertAlign w:val="superscript"/>
        </w:rPr>
        <w:t>,</w:t>
      </w:r>
      <w:r w:rsidR="008978BC">
        <w:rPr>
          <w:rStyle w:val="EndnoteReference"/>
        </w:rPr>
        <w:endnoteReference w:id="9"/>
      </w:r>
      <w:r w:rsidR="0050419A">
        <w:t xml:space="preserve"> </w:t>
      </w:r>
      <w:r>
        <w:t>At least</w:t>
      </w:r>
      <w:r w:rsidRPr="002A1FD6">
        <w:t xml:space="preserve"> in </w:t>
      </w:r>
      <w:r w:rsidR="00EB4FD5">
        <w:t xml:space="preserve">these </w:t>
      </w:r>
      <w:r w:rsidRPr="002A1FD6">
        <w:t>cases,</w:t>
      </w:r>
      <w:r>
        <w:rPr>
          <w:vertAlign w:val="superscript"/>
        </w:rPr>
        <w:t xml:space="preserve"> </w:t>
      </w:r>
      <w:r w:rsidR="00EB4FD5">
        <w:t xml:space="preserve">not </w:t>
      </w:r>
      <w:r w:rsidRPr="002A1FD6">
        <w:t>adjust</w:t>
      </w:r>
      <w:r w:rsidR="00EB4FD5">
        <w:t>ing</w:t>
      </w:r>
      <w:r w:rsidRPr="002A1FD6">
        <w:t xml:space="preserve"> for </w:t>
      </w:r>
      <w:r>
        <w:t xml:space="preserve">within-provider </w:t>
      </w:r>
      <w:r w:rsidRPr="002A1FD6">
        <w:t>rac</w:t>
      </w:r>
      <w:r>
        <w:t>ial differences</w:t>
      </w:r>
      <w:r w:rsidRPr="002A1FD6">
        <w:t xml:space="preserve"> may </w:t>
      </w:r>
      <w:r w:rsidR="00DD5FA1">
        <w:t>conceal</w:t>
      </w:r>
      <w:r w:rsidRPr="002A1FD6">
        <w:t xml:space="preserve"> underlying disparities in care provided by specific health care providers</w:t>
      </w:r>
      <w:r w:rsidR="00202C16">
        <w:t>.</w:t>
      </w:r>
      <w:r w:rsidR="00202C16">
        <w:rPr>
          <w:rStyle w:val="EndnoteReference"/>
        </w:rPr>
        <w:endnoteReference w:id="10"/>
      </w:r>
      <w:r w:rsidR="00F11322" w:rsidRPr="0004311F">
        <w:rPr>
          <w:vertAlign w:val="superscript"/>
        </w:rPr>
        <w:t>,6</w:t>
      </w:r>
      <w:r w:rsidR="00D51206">
        <w:rPr>
          <w:vertAlign w:val="superscript"/>
        </w:rPr>
        <w:t xml:space="preserve"> </w:t>
      </w:r>
      <w:r w:rsidR="0002325B">
        <w:t xml:space="preserve"> </w:t>
      </w:r>
      <w:r w:rsidR="00D51206">
        <w:t xml:space="preserve"> </w:t>
      </w:r>
      <w:r>
        <w:t xml:space="preserve">We illustrate this </w:t>
      </w:r>
      <w:r w:rsidR="00EB4FD5">
        <w:t>potential</w:t>
      </w:r>
      <w:r>
        <w:t xml:space="preserve"> with a careful analysis of the race adjustment in the SMR for dialysis facilities and discuss implications for data interpretation and policy in the </w:t>
      </w:r>
      <w:r w:rsidR="00B92A09">
        <w:t xml:space="preserve">Discussion </w:t>
      </w:r>
      <w:r>
        <w:t xml:space="preserve">section.  </w:t>
      </w:r>
    </w:p>
    <w:p w:rsidR="003A473E" w:rsidRDefault="003A473E" w:rsidP="00D33DEB">
      <w:pPr>
        <w:spacing w:after="0" w:line="480" w:lineRule="auto"/>
      </w:pPr>
    </w:p>
    <w:p w:rsidR="00824BC5" w:rsidRDefault="00824BC5" w:rsidP="005E7992">
      <w:pPr>
        <w:pStyle w:val="Heading2"/>
      </w:pPr>
      <w:r w:rsidRPr="002A1FD6">
        <w:t>Results</w:t>
      </w:r>
    </w:p>
    <w:p w:rsidR="000E4B75" w:rsidRDefault="000F735C" w:rsidP="00B42DD5">
      <w:pPr>
        <w:spacing w:after="0" w:line="480" w:lineRule="auto"/>
      </w:pPr>
      <w:r w:rsidRPr="002A1FD6">
        <w:t xml:space="preserve">Our research </w:t>
      </w:r>
      <w:r>
        <w:t xml:space="preserve">utilizes CMS national data on dialysis patients to evaluate </w:t>
      </w:r>
      <w:r w:rsidRPr="002A1FD6">
        <w:t xml:space="preserve">dialysis facilities with respect to patient survival. </w:t>
      </w:r>
      <w:r>
        <w:t xml:space="preserve"> </w:t>
      </w:r>
      <w:r w:rsidR="000E4B75">
        <w:t xml:space="preserve">Table 1 summarizes demographic characteristics for </w:t>
      </w:r>
      <w:r w:rsidR="002424F5">
        <w:t>the population of patients included in these comparisons.</w:t>
      </w:r>
      <w:r w:rsidR="00061389">
        <w:t xml:space="preserve"> </w:t>
      </w:r>
      <w:r w:rsidR="00152989">
        <w:t>The comorbidity index is computed for each patient based on comorbidities reported at the o</w:t>
      </w:r>
      <w:r w:rsidR="0074078F">
        <w:t>n</w:t>
      </w:r>
      <w:r w:rsidR="00152989">
        <w:t xml:space="preserve">set of dialysis. </w:t>
      </w:r>
      <w:r w:rsidR="00BC4C5B">
        <w:t xml:space="preserve">The index </w:t>
      </w:r>
      <w:r w:rsidR="00152989">
        <w:t xml:space="preserve">is described in detail in the </w:t>
      </w:r>
      <w:r w:rsidR="0074078F">
        <w:t>Dialysis Facility Reports</w:t>
      </w:r>
      <w:r w:rsidR="000E4B75">
        <w:t>.</w:t>
      </w:r>
      <w:r w:rsidR="0074078F">
        <w:rPr>
          <w:vertAlign w:val="superscript"/>
        </w:rPr>
        <w:t>1</w:t>
      </w:r>
      <w:r w:rsidR="000E4B75">
        <w:t xml:space="preserve"> </w:t>
      </w:r>
    </w:p>
    <w:p w:rsidR="009B1964" w:rsidRPr="000E4B75" w:rsidRDefault="009B1964" w:rsidP="00B42DD5">
      <w:pPr>
        <w:spacing w:after="0" w:line="480" w:lineRule="auto"/>
      </w:pPr>
    </w:p>
    <w:p w:rsidR="00B7782E" w:rsidRDefault="00E373C5" w:rsidP="00B7782E">
      <w:pPr>
        <w:spacing w:after="0" w:line="480" w:lineRule="auto"/>
      </w:pPr>
      <w:r>
        <w:t xml:space="preserve">Comparisons among facilities are based on the SMRs for the calendar year 2010. </w:t>
      </w:r>
      <w:r w:rsidR="00377DDB">
        <w:t>Th</w:t>
      </w:r>
      <w:r w:rsidR="00204D06">
        <w:t>e</w:t>
      </w:r>
      <w:r w:rsidR="000F735C">
        <w:t xml:space="preserve"> analyses were </w:t>
      </w:r>
      <w:r w:rsidR="00204D06">
        <w:t xml:space="preserve">performed </w:t>
      </w:r>
      <w:r w:rsidR="000F735C">
        <w:t>with and without race and ethnicity</w:t>
      </w:r>
      <w:r w:rsidR="00204D06">
        <w:t xml:space="preserve"> adjustments</w:t>
      </w:r>
      <w:r w:rsidR="00600608">
        <w:t>.</w:t>
      </w:r>
      <w:r w:rsidR="000F735C">
        <w:t xml:space="preserve"> </w:t>
      </w:r>
      <w:r w:rsidR="00600608">
        <w:t xml:space="preserve">However, </w:t>
      </w:r>
      <w:r w:rsidR="000F735C">
        <w:t>we concentrate here on the differences</w:t>
      </w:r>
      <w:r w:rsidR="00600608">
        <w:t xml:space="preserve"> in SMRs</w:t>
      </w:r>
      <w:r w:rsidR="000F735C">
        <w:t xml:space="preserve"> between facilities </w:t>
      </w:r>
      <w:r w:rsidR="00600608">
        <w:t>related to</w:t>
      </w:r>
      <w:r w:rsidR="000F735C">
        <w:t xml:space="preserve"> the proportion of blacks in the facility.  Facilities were grouped into deciles according to their percent of black patients</w:t>
      </w:r>
      <w:r w:rsidR="001E055A">
        <w:t>.</w:t>
      </w:r>
      <w:r w:rsidR="000F735C">
        <w:t xml:space="preserve"> </w:t>
      </w:r>
      <w:r w:rsidR="00824BC5" w:rsidRPr="002A1FD6">
        <w:t>Figure 1 displays the</w:t>
      </w:r>
      <w:r w:rsidR="00166B06">
        <w:t xml:space="preserve"> combined</w:t>
      </w:r>
      <w:r w:rsidR="00824BC5" w:rsidRPr="002A1FD6">
        <w:t xml:space="preserve"> SMRs</w:t>
      </w:r>
      <w:r w:rsidR="000F735C">
        <w:t xml:space="preserve"> for each decile,</w:t>
      </w:r>
      <w:r w:rsidR="00824BC5" w:rsidRPr="002A1FD6">
        <w:t xml:space="preserve"> with and without adjustment for </w:t>
      </w:r>
      <w:r w:rsidR="000F735C">
        <w:t xml:space="preserve">within facility differences in </w:t>
      </w:r>
      <w:r w:rsidR="00824BC5" w:rsidRPr="002A1FD6">
        <w:t>race</w:t>
      </w:r>
      <w:r w:rsidR="0073729C">
        <w:t xml:space="preserve"> </w:t>
      </w:r>
      <w:r w:rsidR="00824BC5" w:rsidRPr="002A1FD6">
        <w:t>and ethnicity</w:t>
      </w:r>
      <w:r w:rsidR="000F735C">
        <w:t xml:space="preserve">. </w:t>
      </w:r>
      <w:r w:rsidR="00824BC5" w:rsidRPr="002A1FD6">
        <w:t xml:space="preserve"> Figure 2 </w:t>
      </w:r>
      <w:r w:rsidR="009B1964">
        <w:t xml:space="preserve">gives a similar </w:t>
      </w:r>
      <w:r w:rsidR="00824BC5" w:rsidRPr="002A1FD6">
        <w:t>display</w:t>
      </w:r>
      <w:r w:rsidR="009B1964">
        <w:t xml:space="preserve"> of </w:t>
      </w:r>
      <w:r w:rsidR="00824BC5" w:rsidRPr="002A1FD6">
        <w:t xml:space="preserve">SMRs, adjusted for </w:t>
      </w:r>
      <w:r w:rsidR="000F735C">
        <w:t xml:space="preserve">within facility differences in </w:t>
      </w:r>
      <w:r w:rsidR="00824BC5" w:rsidRPr="002A1FD6">
        <w:t xml:space="preserve">race and ethnicity, </w:t>
      </w:r>
      <w:r w:rsidR="001E055A">
        <w:t xml:space="preserve">but </w:t>
      </w:r>
      <w:r w:rsidR="00824BC5" w:rsidRPr="002A1FD6">
        <w:t>separately for black patients and non-black patients.</w:t>
      </w:r>
      <w:r w:rsidR="00061389">
        <w:t xml:space="preserve"> </w:t>
      </w:r>
    </w:p>
    <w:p w:rsidR="009B1964" w:rsidRPr="002A1FD6" w:rsidRDefault="009B1964" w:rsidP="002424F5">
      <w:pPr>
        <w:spacing w:after="0" w:line="480" w:lineRule="auto"/>
      </w:pPr>
    </w:p>
    <w:p w:rsidR="0071116A" w:rsidRDefault="009B1964" w:rsidP="00824BC5">
      <w:pPr>
        <w:spacing w:after="0" w:line="480" w:lineRule="auto"/>
      </w:pPr>
      <w:r>
        <w:t>As noted</w:t>
      </w:r>
      <w:r w:rsidR="006950A9">
        <w:t>,</w:t>
      </w:r>
      <w:r>
        <w:t xml:space="preserve"> and i</w:t>
      </w:r>
      <w:r w:rsidRPr="002A1FD6">
        <w:t xml:space="preserve">n </w:t>
      </w:r>
      <w:r w:rsidR="00824BC5" w:rsidRPr="002A1FD6">
        <w:t xml:space="preserve">contrast to many other </w:t>
      </w:r>
      <w:r w:rsidR="00721298">
        <w:t xml:space="preserve">health care </w:t>
      </w:r>
      <w:r w:rsidR="00824BC5" w:rsidRPr="002A1FD6">
        <w:t xml:space="preserve">settings, black dialysis patients have </w:t>
      </w:r>
      <w:r w:rsidR="00EB24E6">
        <w:t>better survival</w:t>
      </w:r>
      <w:r w:rsidR="00824BC5" w:rsidRPr="002A1FD6">
        <w:t xml:space="preserve"> </w:t>
      </w:r>
      <w:r w:rsidR="00357F56">
        <w:t xml:space="preserve">rates </w:t>
      </w:r>
      <w:r w:rsidR="00824BC5" w:rsidRPr="002A1FD6">
        <w:t xml:space="preserve">than non-black </w:t>
      </w:r>
      <w:r w:rsidR="00A43132" w:rsidRPr="005C1D04">
        <w:t>patients</w:t>
      </w:r>
      <w:r w:rsidR="001D2813">
        <w:t>.</w:t>
      </w:r>
      <w:r w:rsidR="001D2813" w:rsidRPr="0004311F">
        <w:rPr>
          <w:vertAlign w:val="superscript"/>
        </w:rPr>
        <w:t>7,</w:t>
      </w:r>
      <w:r w:rsidR="001D2813">
        <w:rPr>
          <w:vertAlign w:val="superscript"/>
        </w:rPr>
        <w:t>8,</w:t>
      </w:r>
      <w:r w:rsidR="001D2813">
        <w:rPr>
          <w:rStyle w:val="EndnoteReference"/>
        </w:rPr>
        <w:endnoteReference w:id="11"/>
      </w:r>
      <w:r w:rsidR="001D2813">
        <w:t xml:space="preserve"> </w:t>
      </w:r>
      <w:r w:rsidR="000E4445" w:rsidRPr="002A1FD6">
        <w:t xml:space="preserve">When </w:t>
      </w:r>
      <w:r w:rsidR="000E4445">
        <w:t xml:space="preserve">SMRs are </w:t>
      </w:r>
      <w:r w:rsidR="000E4445" w:rsidRPr="002A1FD6">
        <w:t xml:space="preserve">unadjusted for </w:t>
      </w:r>
      <w:r w:rsidR="006177DC">
        <w:t xml:space="preserve">the </w:t>
      </w:r>
      <w:r w:rsidR="000E4445" w:rsidRPr="002A1FD6">
        <w:t>rac</w:t>
      </w:r>
      <w:r w:rsidR="006177DC">
        <w:t>ial composition of patients in the facility</w:t>
      </w:r>
      <w:r w:rsidR="000E4445" w:rsidRPr="002A1FD6">
        <w:t xml:space="preserve">, </w:t>
      </w:r>
      <w:r>
        <w:t>f</w:t>
      </w:r>
      <w:r w:rsidR="000E4445" w:rsidRPr="002A1FD6">
        <w:t>acilities with more black patients</w:t>
      </w:r>
      <w:r>
        <w:t xml:space="preserve"> tend to</w:t>
      </w:r>
      <w:r w:rsidR="000E4445" w:rsidRPr="002A1FD6">
        <w:t xml:space="preserve"> have </w:t>
      </w:r>
      <w:r w:rsidR="006177DC">
        <w:t xml:space="preserve">observed </w:t>
      </w:r>
      <w:r w:rsidR="000E4445">
        <w:t xml:space="preserve">mortality </w:t>
      </w:r>
      <w:r>
        <w:t xml:space="preserve">rates </w:t>
      </w:r>
      <w:r w:rsidR="000E4445" w:rsidRPr="002A1FD6">
        <w:t xml:space="preserve">lower than </w:t>
      </w:r>
      <w:r w:rsidR="000E4445">
        <w:t xml:space="preserve">the </w:t>
      </w:r>
      <w:r w:rsidR="000E4445" w:rsidRPr="002A1FD6">
        <w:t>expected mortality</w:t>
      </w:r>
      <w:r w:rsidR="006177DC">
        <w:t xml:space="preserve"> from the predictive model</w:t>
      </w:r>
      <w:r w:rsidR="00EB24E6">
        <w:t>.</w:t>
      </w:r>
      <w:r w:rsidR="00EF2390">
        <w:t xml:space="preserve"> </w:t>
      </w:r>
      <w:r w:rsidR="000E4445">
        <w:t xml:space="preserve">Overall, mortality at </w:t>
      </w:r>
      <w:r w:rsidR="000E4445" w:rsidRPr="002A1FD6">
        <w:t xml:space="preserve">the 10% of facilities with the </w:t>
      </w:r>
      <w:r w:rsidR="00B10A9E">
        <w:t xml:space="preserve">highest </w:t>
      </w:r>
      <w:r w:rsidR="000E4445" w:rsidRPr="002A1FD6">
        <w:t xml:space="preserve">percentage of black patients </w:t>
      </w:r>
      <w:r w:rsidR="000E4445">
        <w:t>was</w:t>
      </w:r>
      <w:r w:rsidR="00506CC2">
        <w:t xml:space="preserve"> approximately</w:t>
      </w:r>
      <w:r w:rsidR="000E4445">
        <w:t xml:space="preserve"> </w:t>
      </w:r>
      <w:r w:rsidR="00506CC2">
        <w:t>7</w:t>
      </w:r>
      <w:r w:rsidR="000E4445" w:rsidRPr="002A1FD6">
        <w:t>% lower than expected</w:t>
      </w:r>
      <w:r w:rsidR="0001415E">
        <w:t xml:space="preserve"> (</w:t>
      </w:r>
      <w:r w:rsidR="00B559FD">
        <w:t>SMR=0.93 for the decile)</w:t>
      </w:r>
      <w:r w:rsidR="000E4445">
        <w:t xml:space="preserve"> and the</w:t>
      </w:r>
      <w:r w:rsidR="000E4445" w:rsidRPr="002A1FD6">
        <w:t xml:space="preserve"> SMR</w:t>
      </w:r>
      <w:r w:rsidR="000E4445">
        <w:t xml:space="preserve">s generally decreased </w:t>
      </w:r>
      <w:r w:rsidR="000E4445" w:rsidRPr="002A1FD6">
        <w:t>as the percent of black patients increase</w:t>
      </w:r>
      <w:r w:rsidR="000E4445">
        <w:t>d</w:t>
      </w:r>
      <w:r w:rsidR="000E4445" w:rsidRPr="002A1FD6">
        <w:t xml:space="preserve"> (Figure 1, dashed line)</w:t>
      </w:r>
      <w:r w:rsidR="00E00F43">
        <w:t xml:space="preserve">. </w:t>
      </w:r>
    </w:p>
    <w:p w:rsidR="009B1964" w:rsidRDefault="009B1964" w:rsidP="00824BC5">
      <w:pPr>
        <w:spacing w:after="0" w:line="480" w:lineRule="auto"/>
      </w:pPr>
    </w:p>
    <w:p w:rsidR="00B7782E" w:rsidRDefault="00E00F43" w:rsidP="00B7782E">
      <w:pPr>
        <w:spacing w:after="0" w:line="480" w:lineRule="auto"/>
      </w:pPr>
      <w:r>
        <w:t xml:space="preserve">When SMRs are </w:t>
      </w:r>
      <w:r w:rsidRPr="002A1FD6">
        <w:t xml:space="preserve">adjusted for </w:t>
      </w:r>
      <w:r>
        <w:t xml:space="preserve">the within facility effect of </w:t>
      </w:r>
      <w:r w:rsidRPr="002A1FD6">
        <w:t>race</w:t>
      </w:r>
      <w:r>
        <w:t>,</w:t>
      </w:r>
      <w:r w:rsidRPr="002A1FD6">
        <w:t xml:space="preserve"> </w:t>
      </w:r>
      <w:r>
        <w:t xml:space="preserve">expected mortality is based on the race of each patient. </w:t>
      </w:r>
      <w:r w:rsidR="009B1964">
        <w:t>With</w:t>
      </w:r>
      <w:r w:rsidR="00C7358E">
        <w:t xml:space="preserve"> </w:t>
      </w:r>
      <w:r w:rsidR="009B1964">
        <w:t>this adjustment, f</w:t>
      </w:r>
      <w:r w:rsidRPr="002A1FD6">
        <w:t>acilities treating higher percentage</w:t>
      </w:r>
      <w:r>
        <w:t>s</w:t>
      </w:r>
      <w:r w:rsidRPr="002A1FD6">
        <w:t xml:space="preserve"> of black patients </w:t>
      </w:r>
      <w:r>
        <w:t xml:space="preserve">have </w:t>
      </w:r>
      <w:r w:rsidR="006177DC">
        <w:t xml:space="preserve">observed </w:t>
      </w:r>
      <w:r>
        <w:t>mortality</w:t>
      </w:r>
      <w:r w:rsidR="009B1964">
        <w:t xml:space="preserve"> rates</w:t>
      </w:r>
      <w:r>
        <w:t xml:space="preserve"> higher </w:t>
      </w:r>
      <w:r w:rsidRPr="002A1FD6">
        <w:t xml:space="preserve">than </w:t>
      </w:r>
      <w:r>
        <w:t xml:space="preserve">the </w:t>
      </w:r>
      <w:r w:rsidRPr="002A1FD6">
        <w:t>expected</w:t>
      </w:r>
      <w:r w:rsidR="00555CCA">
        <w:t xml:space="preserve"> mortality</w:t>
      </w:r>
      <w:r>
        <w:t xml:space="preserve">. Overall, mortality at </w:t>
      </w:r>
      <w:r w:rsidRPr="002A1FD6">
        <w:t xml:space="preserve">the 10% of facilities with the </w:t>
      </w:r>
      <w:r>
        <w:t>larg</w:t>
      </w:r>
      <w:r w:rsidRPr="002A1FD6">
        <w:t>est percentage</w:t>
      </w:r>
      <w:r>
        <w:t>s</w:t>
      </w:r>
      <w:r w:rsidRPr="002A1FD6">
        <w:t xml:space="preserve"> of black patients </w:t>
      </w:r>
      <w:r>
        <w:t xml:space="preserve">was </w:t>
      </w:r>
      <w:r w:rsidR="00506CC2">
        <w:t>approximately 6</w:t>
      </w:r>
      <w:r w:rsidRPr="002A1FD6">
        <w:t xml:space="preserve">% </w:t>
      </w:r>
      <w:r>
        <w:t xml:space="preserve">higher </w:t>
      </w:r>
      <w:r w:rsidRPr="002A1FD6">
        <w:t>than expected (</w:t>
      </w:r>
      <w:r w:rsidR="00B559FD">
        <w:t>SMR=1.06 for the decile; Figure 1</w:t>
      </w:r>
      <w:r w:rsidRPr="002A1FD6">
        <w:t xml:space="preserve">). </w:t>
      </w:r>
      <w:r w:rsidR="00E341B0">
        <w:t xml:space="preserve"> These changes occur since the expected mortality at these facilities </w:t>
      </w:r>
      <w:r w:rsidR="00506CC2">
        <w:t xml:space="preserve">differs markedly based on the inclusion </w:t>
      </w:r>
      <w:r w:rsidR="00E341B0">
        <w:t xml:space="preserve">or exclusion </w:t>
      </w:r>
      <w:r w:rsidR="00506CC2">
        <w:t xml:space="preserve">of patient race in the predictive model. </w:t>
      </w:r>
      <w:r>
        <w:t xml:space="preserve">The </w:t>
      </w:r>
      <w:r w:rsidR="009B1964">
        <w:t xml:space="preserve">race and ethnicity adjusted </w:t>
      </w:r>
      <w:r>
        <w:t xml:space="preserve">SMRs of </w:t>
      </w:r>
      <w:r w:rsidRPr="002A1FD6">
        <w:t>both black and non-black patients</w:t>
      </w:r>
      <w:r>
        <w:t xml:space="preserve"> generally increased as the </w:t>
      </w:r>
      <w:r w:rsidRPr="002A1FD6">
        <w:t xml:space="preserve">proportion of black patients </w:t>
      </w:r>
      <w:r>
        <w:t>in the facility increase</w:t>
      </w:r>
      <w:r w:rsidR="00555CCA">
        <w:t>d</w:t>
      </w:r>
      <w:r w:rsidRPr="002A1FD6">
        <w:t xml:space="preserve"> (Figure </w:t>
      </w:r>
      <w:r w:rsidRPr="00DE1775">
        <w:t>2)</w:t>
      </w:r>
      <w:r>
        <w:t xml:space="preserve">, </w:t>
      </w:r>
      <w:r w:rsidR="00F8743E">
        <w:t xml:space="preserve">even </w:t>
      </w:r>
      <w:r>
        <w:t xml:space="preserve">more so </w:t>
      </w:r>
      <w:r w:rsidRPr="00FD560A">
        <w:t>for non-black patients.</w:t>
      </w:r>
      <w:r w:rsidR="00B7782E" w:rsidRPr="00B7782E">
        <w:t xml:space="preserve"> </w:t>
      </w:r>
      <w:r w:rsidR="00B7782E">
        <w:t>Similar analyses showed no important effects relating facility ethnic composition to SMR.</w:t>
      </w:r>
    </w:p>
    <w:p w:rsidR="00B26FA7" w:rsidRDefault="00B26FA7" w:rsidP="00E00F43">
      <w:pPr>
        <w:spacing w:after="0" w:line="480" w:lineRule="auto"/>
      </w:pPr>
    </w:p>
    <w:p w:rsidR="001D01E1" w:rsidRDefault="00A44189" w:rsidP="00824BC5">
      <w:pPr>
        <w:spacing w:after="0" w:line="480" w:lineRule="auto"/>
      </w:pPr>
      <w:r>
        <w:t xml:space="preserve">Table </w:t>
      </w:r>
      <w:r w:rsidR="002424F5">
        <w:t>2</w:t>
      </w:r>
      <w:r>
        <w:t xml:space="preserve"> compares </w:t>
      </w:r>
      <w:r w:rsidR="00C7358E">
        <w:t>several</w:t>
      </w:r>
      <w:r>
        <w:t xml:space="preserve"> facility characteristics </w:t>
      </w:r>
      <w:r w:rsidR="00166B06">
        <w:t>of</w:t>
      </w:r>
      <w:r>
        <w:t xml:space="preserve"> the 10% of facilities with the highest proportion of black patients with </w:t>
      </w:r>
      <w:r w:rsidR="00922ABA">
        <w:t xml:space="preserve">all other </w:t>
      </w:r>
      <w:r>
        <w:t>facilities</w:t>
      </w:r>
      <w:r w:rsidR="00564B80">
        <w:t>.</w:t>
      </w:r>
      <w:r w:rsidRPr="00953AC7">
        <w:rPr>
          <w:i/>
        </w:rPr>
        <w:t xml:space="preserve"> </w:t>
      </w:r>
      <w:r w:rsidR="007B2F7F" w:rsidRPr="004C5994">
        <w:t>Th</w:t>
      </w:r>
      <w:r w:rsidR="00C7358E">
        <w:t>ose </w:t>
      </w:r>
      <w:r w:rsidR="007B2F7F" w:rsidRPr="004C5994">
        <w:t xml:space="preserve">with the highest proportions of black patients had a lower average </w:t>
      </w:r>
      <w:r w:rsidR="0073729C">
        <w:t xml:space="preserve">of the median </w:t>
      </w:r>
      <w:r w:rsidR="007B2F7F" w:rsidRPr="004C5994">
        <w:t xml:space="preserve">household income </w:t>
      </w:r>
      <w:r w:rsidR="0073729C">
        <w:t xml:space="preserve">in the zip code of residence </w:t>
      </w:r>
      <w:r w:rsidR="007B2F7F" w:rsidRPr="004C5994">
        <w:t xml:space="preserve">by about $11,000. Other less </w:t>
      </w:r>
      <w:r w:rsidR="00922ABA">
        <w:t>marked</w:t>
      </w:r>
      <w:r w:rsidR="007B2F7F" w:rsidRPr="004C5994">
        <w:t xml:space="preserve"> differences </w:t>
      </w:r>
      <w:r w:rsidR="0073729C">
        <w:t>lay</w:t>
      </w:r>
      <w:r w:rsidR="00061389">
        <w:t xml:space="preserve"> </w:t>
      </w:r>
      <w:r w:rsidR="007B2F7F" w:rsidRPr="004C5994">
        <w:t xml:space="preserve">in average age, time since onset of ESRD and percent of rural </w:t>
      </w:r>
      <w:r w:rsidR="00922ABA">
        <w:t>facilities</w:t>
      </w:r>
      <w:r w:rsidR="007B2F7F" w:rsidRPr="004C5994">
        <w:t>.</w:t>
      </w:r>
    </w:p>
    <w:p w:rsidR="00B26FA7" w:rsidRPr="004C5994" w:rsidRDefault="00B26FA7" w:rsidP="00824BC5">
      <w:pPr>
        <w:spacing w:after="0" w:line="480" w:lineRule="auto"/>
      </w:pPr>
    </w:p>
    <w:p w:rsidR="009F6592" w:rsidRDefault="009F6592" w:rsidP="009F6592">
      <w:pPr>
        <w:pStyle w:val="Heading2"/>
      </w:pPr>
      <w:r>
        <w:t>Discussion</w:t>
      </w:r>
      <w:r w:rsidRPr="002A1FD6">
        <w:t xml:space="preserve"> </w:t>
      </w:r>
    </w:p>
    <w:p w:rsidR="00C6644A" w:rsidRDefault="003C0606" w:rsidP="00246C36">
      <w:pPr>
        <w:spacing w:after="0" w:line="480" w:lineRule="auto"/>
      </w:pPr>
      <w:r>
        <w:t>The observation that black dialysis patients tend to have better survival outcomes than non-black patients has been noted in the literature and reported in the USRDS</w:t>
      </w:r>
      <w:r w:rsidR="001E580D">
        <w:t>.</w:t>
      </w:r>
      <w:r w:rsidR="001E580D">
        <w:rPr>
          <w:vertAlign w:val="superscript"/>
        </w:rPr>
        <w:t>7,8,10</w:t>
      </w:r>
      <w:r w:rsidR="00FB3729">
        <w:rPr>
          <w:vertAlign w:val="superscript"/>
        </w:rPr>
        <w:t>,</w:t>
      </w:r>
      <w:r w:rsidR="00FB3729">
        <w:rPr>
          <w:rStyle w:val="EndnoteReference"/>
        </w:rPr>
        <w:endnoteReference w:id="12"/>
      </w:r>
      <w:r w:rsidR="001E580D">
        <w:t xml:space="preserve"> </w:t>
      </w:r>
      <w:r>
        <w:t xml:space="preserve">The reasons are not entirely clear. </w:t>
      </w:r>
      <w:r w:rsidR="00246C36">
        <w:t xml:space="preserve">Some studies suggest underlying genetic and biologic differences </w:t>
      </w:r>
      <w:r w:rsidR="00775B50">
        <w:t xml:space="preserve">may </w:t>
      </w:r>
      <w:r w:rsidR="00246C36">
        <w:t>determine kidney disease pathways in blacks compared to other race and ethnic groups</w:t>
      </w:r>
      <w:r w:rsidR="00E40A97">
        <w:t>.</w:t>
      </w:r>
      <w:r w:rsidR="00E40A97">
        <w:rPr>
          <w:rStyle w:val="EndnoteReference"/>
        </w:rPr>
        <w:endnoteReference w:id="13"/>
      </w:r>
      <w:r w:rsidR="000D06D3" w:rsidRPr="007743BA">
        <w:rPr>
          <w:vertAlign w:val="superscript"/>
        </w:rPr>
        <w:t>,</w:t>
      </w:r>
      <w:r w:rsidR="000D06D3">
        <w:rPr>
          <w:rStyle w:val="EndnoteReference"/>
        </w:rPr>
        <w:endnoteReference w:id="14"/>
      </w:r>
      <w:r w:rsidR="00246C36">
        <w:t xml:space="preserve"> </w:t>
      </w:r>
      <w:r w:rsidR="00775B50">
        <w:t xml:space="preserve">Similarly, </w:t>
      </w:r>
      <w:r w:rsidR="00D51206">
        <w:t xml:space="preserve">specific </w:t>
      </w:r>
      <w:r>
        <w:t>biologic or genetic factors may provide protective benefits for certain clinical outcomes, when compared to whites or other race groups.</w:t>
      </w:r>
      <w:r w:rsidR="00A548A1" w:rsidRPr="007743BA">
        <w:rPr>
          <w:vertAlign w:val="superscript"/>
        </w:rPr>
        <w:t>7,</w:t>
      </w:r>
      <w:r w:rsidR="00A548A1">
        <w:rPr>
          <w:rStyle w:val="EndnoteReference"/>
        </w:rPr>
        <w:endnoteReference w:id="15"/>
      </w:r>
      <w:r>
        <w:t xml:space="preserve"> For example, some have observed </w:t>
      </w:r>
      <w:r w:rsidRPr="00A63094">
        <w:t>an association with high BMI</w:t>
      </w:r>
      <w:r>
        <w:t xml:space="preserve"> </w:t>
      </w:r>
      <w:r w:rsidRPr="00A63094">
        <w:t>and better nutritional status</w:t>
      </w:r>
      <w:r>
        <w:t xml:space="preserve"> that may account for the survival advantage among blacks.</w:t>
      </w:r>
      <w:r>
        <w:rPr>
          <w:rStyle w:val="EndnoteReference"/>
        </w:rPr>
        <w:endnoteReference w:id="16"/>
      </w:r>
      <w:r>
        <w:t xml:space="preserve"> Others have postulated that blacks with CKD who progress to ESRD tend to be healthier and therefore start chronic dialysis with a survival advantage.</w:t>
      </w:r>
      <w:r w:rsidR="00322958">
        <w:rPr>
          <w:rStyle w:val="EndnoteReference"/>
        </w:rPr>
        <w:t>14</w:t>
      </w:r>
      <w:r w:rsidR="00C6644A">
        <w:t xml:space="preserve"> </w:t>
      </w:r>
    </w:p>
    <w:p w:rsidR="005B0720" w:rsidRDefault="0045255D" w:rsidP="00824BC5">
      <w:pPr>
        <w:spacing w:after="0" w:line="480" w:lineRule="auto"/>
      </w:pPr>
      <w:r>
        <w:t>In</w:t>
      </w:r>
      <w:r w:rsidR="00202B7E">
        <w:t xml:space="preserve"> t</w:t>
      </w:r>
      <w:r w:rsidR="00DC4B2A">
        <w:t>he</w:t>
      </w:r>
      <w:r w:rsidR="00705C3E" w:rsidRPr="002A1FD6">
        <w:t xml:space="preserve"> </w:t>
      </w:r>
      <w:r w:rsidR="00705C3E">
        <w:t>results</w:t>
      </w:r>
      <w:r w:rsidR="00573414">
        <w:t xml:space="preserve"> unadjusted for race </w:t>
      </w:r>
      <w:r>
        <w:t>(</w:t>
      </w:r>
      <w:r w:rsidR="00705C3E">
        <w:t>Figure 1</w:t>
      </w:r>
      <w:r>
        <w:t>)</w:t>
      </w:r>
      <w:r w:rsidR="00202B7E">
        <w:t xml:space="preserve">, </w:t>
      </w:r>
      <w:r w:rsidR="00705C3E" w:rsidRPr="002A1FD6">
        <w:t xml:space="preserve">it is unclear whether lower mortality at facilities with greater percentages of black patients </w:t>
      </w:r>
      <w:r w:rsidR="0091166C">
        <w:t>occurs</w:t>
      </w:r>
      <w:r w:rsidR="0091166C" w:rsidRPr="002A1FD6">
        <w:t xml:space="preserve"> </w:t>
      </w:r>
      <w:r w:rsidR="00705C3E" w:rsidRPr="002A1FD6">
        <w:t xml:space="preserve">because black dialysis patients have lower mortality, or because </w:t>
      </w:r>
      <w:r>
        <w:t>these</w:t>
      </w:r>
      <w:r w:rsidR="00705C3E" w:rsidRPr="002A1FD6">
        <w:t xml:space="preserve"> facilities tend to provide better care</w:t>
      </w:r>
      <w:r w:rsidR="00705C3E">
        <w:t xml:space="preserve">. </w:t>
      </w:r>
      <w:r w:rsidR="007266DA">
        <w:t>However, t</w:t>
      </w:r>
      <w:r w:rsidR="00824BC5" w:rsidRPr="002A1FD6">
        <w:t xml:space="preserve">he </w:t>
      </w:r>
      <w:r w:rsidR="00F45CA6">
        <w:t xml:space="preserve">analysis adjusted </w:t>
      </w:r>
      <w:r w:rsidR="00824BC5" w:rsidRPr="002A1FD6">
        <w:t xml:space="preserve">for race and </w:t>
      </w:r>
      <w:r w:rsidR="00F45CA6">
        <w:t xml:space="preserve">ethnicity </w:t>
      </w:r>
      <w:r w:rsidR="00824BC5" w:rsidRPr="002A1FD6">
        <w:t xml:space="preserve">indicates that facilities </w:t>
      </w:r>
      <w:r w:rsidR="00F45CA6">
        <w:t>with</w:t>
      </w:r>
      <w:r w:rsidR="00824BC5" w:rsidRPr="002A1FD6">
        <w:t xml:space="preserve"> a higher percentage of black patients tend to have higher mortality than would be expected given their case mix including race</w:t>
      </w:r>
      <w:r w:rsidR="00705C3E">
        <w:t>. Further, as Figure 2 illustrates, this</w:t>
      </w:r>
      <w:r w:rsidR="00824BC5" w:rsidRPr="002A1FD6">
        <w:t xml:space="preserve"> elevation in mortality is observed for both black and non-black patients. </w:t>
      </w:r>
      <w:r w:rsidR="005B0720">
        <w:t xml:space="preserve">This may be due to an underlying relationship </w:t>
      </w:r>
      <w:r w:rsidR="00612E7C">
        <w:t>with</w:t>
      </w:r>
      <w:r w:rsidR="005B0720">
        <w:t xml:space="preserve"> socioeconomic status or other environmental variables.</w:t>
      </w:r>
      <w:r w:rsidR="009F5348">
        <w:rPr>
          <w:rStyle w:val="EndnoteReference"/>
        </w:rPr>
        <w:endnoteReference w:id="17"/>
      </w:r>
      <w:r w:rsidR="00575181" w:rsidRPr="0004311F">
        <w:rPr>
          <w:vertAlign w:val="superscript"/>
        </w:rPr>
        <w:t>,</w:t>
      </w:r>
      <w:r w:rsidR="00575181">
        <w:rPr>
          <w:rStyle w:val="EndnoteReference"/>
        </w:rPr>
        <w:endnoteReference w:id="18"/>
      </w:r>
      <w:r w:rsidR="005B0720">
        <w:t xml:space="preserve"> </w:t>
      </w:r>
    </w:p>
    <w:p w:rsidR="00713279" w:rsidRDefault="00713279" w:rsidP="00824BC5">
      <w:pPr>
        <w:spacing w:after="0" w:line="480" w:lineRule="auto"/>
      </w:pPr>
    </w:p>
    <w:p w:rsidR="00040B1C" w:rsidRDefault="005B0720" w:rsidP="00824BC5">
      <w:pPr>
        <w:spacing w:after="0" w:line="480" w:lineRule="auto"/>
      </w:pPr>
      <w:r>
        <w:t xml:space="preserve">Our objective is to clearly identify facilities whose outcomes are below the national </w:t>
      </w:r>
      <w:r w:rsidR="004D0F53">
        <w:t>average</w:t>
      </w:r>
      <w:r>
        <w:t xml:space="preserve">.  </w:t>
      </w:r>
      <w:r w:rsidR="00E56043">
        <w:t xml:space="preserve">With </w:t>
      </w:r>
      <w:r w:rsidR="00C1658B">
        <w:t xml:space="preserve">this </w:t>
      </w:r>
      <w:r w:rsidR="00287232">
        <w:t>approach</w:t>
      </w:r>
      <w:r w:rsidR="00353A80">
        <w:t>,</w:t>
      </w:r>
      <w:r w:rsidR="00287232" w:rsidRPr="002A1FD6">
        <w:t xml:space="preserve"> </w:t>
      </w:r>
      <w:r w:rsidR="00C1658B" w:rsidRPr="002A1FD6">
        <w:t xml:space="preserve">the race-adjusted analyses do not obscure disparities in health care, but tend to clarify </w:t>
      </w:r>
      <w:r w:rsidR="00353A80" w:rsidRPr="002A1FD6">
        <w:t>th</w:t>
      </w:r>
      <w:r w:rsidR="00353A80">
        <w:t>e</w:t>
      </w:r>
      <w:r w:rsidR="00353A80" w:rsidRPr="002A1FD6">
        <w:t xml:space="preserve"> </w:t>
      </w:r>
      <w:r w:rsidR="00C1658B" w:rsidRPr="002A1FD6">
        <w:t>disparities.</w:t>
      </w:r>
      <w:r w:rsidR="00C1658B">
        <w:t xml:space="preserve"> </w:t>
      </w:r>
      <w:r w:rsidR="00040B1C">
        <w:t xml:space="preserve">Without adjustment, we may erroneously </w:t>
      </w:r>
      <w:r w:rsidR="00D47606">
        <w:t>conclude</w:t>
      </w:r>
      <w:r w:rsidR="00040B1C">
        <w:t xml:space="preserve"> that those facilities with a high concentration of black patients </w:t>
      </w:r>
      <w:r w:rsidR="00B26FA7">
        <w:t>have outcomes better than</w:t>
      </w:r>
      <w:r w:rsidR="00040B1C">
        <w:t xml:space="preserve"> the national norm. </w:t>
      </w:r>
      <w:r w:rsidR="00D47606">
        <w:t>As demonstrated, when</w:t>
      </w:r>
      <w:r w:rsidR="00040B1C">
        <w:t xml:space="preserve"> taking account of </w:t>
      </w:r>
      <w:r w:rsidR="00D47606">
        <w:t>fa</w:t>
      </w:r>
      <w:r w:rsidR="008354FC">
        <w:t>cility level racial composition</w:t>
      </w:r>
      <w:r w:rsidR="00D47606">
        <w:t>,</w:t>
      </w:r>
      <w:r w:rsidR="00040B1C">
        <w:t xml:space="preserve"> this </w:t>
      </w:r>
      <w:r w:rsidR="008354FC">
        <w:t>does</w:t>
      </w:r>
      <w:r w:rsidR="00040B1C">
        <w:t xml:space="preserve"> not </w:t>
      </w:r>
      <w:r w:rsidR="008354FC">
        <w:t xml:space="preserve">appear to be </w:t>
      </w:r>
      <w:r w:rsidR="00040B1C">
        <w:t xml:space="preserve">the case. </w:t>
      </w:r>
    </w:p>
    <w:p w:rsidR="00040B1C" w:rsidRDefault="00040B1C" w:rsidP="00824BC5">
      <w:pPr>
        <w:spacing w:after="0" w:line="480" w:lineRule="auto"/>
      </w:pPr>
    </w:p>
    <w:p w:rsidR="00040B1C" w:rsidRDefault="00040B1C" w:rsidP="00040B1C">
      <w:pPr>
        <w:spacing w:after="0" w:line="480" w:lineRule="auto"/>
      </w:pPr>
      <w:r>
        <w:t>As a general principle,</w:t>
      </w:r>
      <w:r w:rsidRPr="002A1FD6">
        <w:t xml:space="preserve"> serious consideration should be given to the potential role of patient race </w:t>
      </w:r>
      <w:r w:rsidR="008354FC">
        <w:t>and other sociodemographics</w:t>
      </w:r>
      <w:r w:rsidR="00C55A08">
        <w:t xml:space="preserve"> when</w:t>
      </w:r>
      <w:r w:rsidRPr="002A1FD6">
        <w:t xml:space="preserve"> evaluating quality of care</w:t>
      </w:r>
      <w:r w:rsidR="00AB4DE1">
        <w:t>.</w:t>
      </w:r>
      <w:r w:rsidR="00AB4DE1">
        <w:rPr>
          <w:vertAlign w:val="superscript"/>
        </w:rPr>
        <w:t>9,</w:t>
      </w:r>
      <w:r w:rsidR="00AB4DE1">
        <w:rPr>
          <w:rStyle w:val="EndnoteReference"/>
        </w:rPr>
        <w:endnoteReference w:id="19"/>
      </w:r>
      <w:r w:rsidR="0014749E">
        <w:t xml:space="preserve"> </w:t>
      </w:r>
      <w:r w:rsidRPr="002A1FD6">
        <w:t xml:space="preserve">When typically disadvantaged minorities </w:t>
      </w:r>
      <w:r w:rsidR="00C55A08">
        <w:t>appear</w:t>
      </w:r>
      <w:r w:rsidRPr="002A1FD6">
        <w:t xml:space="preserve"> to have better outcomes at the patient-level,</w:t>
      </w:r>
      <w:r w:rsidR="00AB4DE1" w:rsidRPr="00D92589">
        <w:rPr>
          <w:vertAlign w:val="superscript"/>
        </w:rPr>
        <w:t>7,8</w:t>
      </w:r>
      <w:r w:rsidR="007532FC">
        <w:t xml:space="preserve"> </w:t>
      </w:r>
      <w:r w:rsidRPr="002A1FD6">
        <w:t>adjustment for these demographic variables may be particularly important</w:t>
      </w:r>
      <w:r>
        <w:t xml:space="preserve"> as in the example discussed in this paper</w:t>
      </w:r>
      <w:r w:rsidRPr="002A1FD6">
        <w:t>.</w:t>
      </w:r>
      <w:r>
        <w:t xml:space="preserve"> </w:t>
      </w:r>
      <w:r w:rsidRPr="002A1FD6">
        <w:t xml:space="preserve">However, even if minority outcomes are associated with poorer </w:t>
      </w:r>
      <w:r w:rsidR="00A872CD">
        <w:t xml:space="preserve">facility </w:t>
      </w:r>
      <w:r w:rsidRPr="002A1FD6">
        <w:t xml:space="preserve">performance, </w:t>
      </w:r>
      <w:r w:rsidR="00A872CD">
        <w:t>it</w:t>
      </w:r>
      <w:r w:rsidRPr="002A1FD6">
        <w:t xml:space="preserve"> may still be </w:t>
      </w:r>
      <w:r w:rsidR="00A872CD">
        <w:t>informative</w:t>
      </w:r>
      <w:r w:rsidRPr="002A1FD6">
        <w:t xml:space="preserve"> to estimat</w:t>
      </w:r>
      <w:r w:rsidR="00723E4E">
        <w:t>e</w:t>
      </w:r>
      <w:r>
        <w:t xml:space="preserve"> and adjust for </w:t>
      </w:r>
      <w:r w:rsidRPr="002A1FD6">
        <w:t>within-facility effects</w:t>
      </w:r>
      <w:r>
        <w:t>,</w:t>
      </w:r>
      <w:r w:rsidRPr="002A1FD6">
        <w:t xml:space="preserve"> and</w:t>
      </w:r>
      <w:r>
        <w:t xml:space="preserve"> </w:t>
      </w:r>
      <w:r w:rsidR="00723E4E">
        <w:t xml:space="preserve">then </w:t>
      </w:r>
      <w:r>
        <w:t>evaluat</w:t>
      </w:r>
      <w:r w:rsidR="00723E4E">
        <w:t>e</w:t>
      </w:r>
      <w:r w:rsidRPr="002A1FD6">
        <w:t xml:space="preserve"> between facility differences</w:t>
      </w:r>
      <w:r>
        <w:t xml:space="preserve"> for </w:t>
      </w:r>
      <w:r w:rsidR="00723E4E">
        <w:t>potential</w:t>
      </w:r>
      <w:r>
        <w:t xml:space="preserve"> disparities</w:t>
      </w:r>
      <w:r w:rsidRPr="002A1FD6">
        <w:t>.</w:t>
      </w:r>
      <w:r>
        <w:t xml:space="preserve">  </w:t>
      </w:r>
    </w:p>
    <w:p w:rsidR="00040B1C" w:rsidRDefault="00040B1C" w:rsidP="00824BC5">
      <w:pPr>
        <w:spacing w:after="0" w:line="480" w:lineRule="auto"/>
      </w:pPr>
    </w:p>
    <w:p w:rsidR="0072321E" w:rsidRDefault="00DF1A24" w:rsidP="007804F5">
      <w:pPr>
        <w:spacing w:after="0" w:line="480" w:lineRule="auto"/>
      </w:pPr>
      <w:r>
        <w:t xml:space="preserve">Table </w:t>
      </w:r>
      <w:r w:rsidR="002424F5">
        <w:t>2</w:t>
      </w:r>
      <w:r w:rsidR="0073729C">
        <w:t xml:space="preserve"> </w:t>
      </w:r>
      <w:r>
        <w:t>suggest</w:t>
      </w:r>
      <w:r w:rsidR="0073729C">
        <w:t>s</w:t>
      </w:r>
      <w:r>
        <w:t xml:space="preserve"> that socioeconomic factors may play an important role in explaining the differences </w:t>
      </w:r>
      <w:r w:rsidR="00DB471E">
        <w:t>between facilities based on racial composi</w:t>
      </w:r>
      <w:r w:rsidR="00FD7491">
        <w:t>ti</w:t>
      </w:r>
      <w:r w:rsidR="00DB471E">
        <w:t xml:space="preserve">on. </w:t>
      </w:r>
      <w:r w:rsidR="00A137AC">
        <w:t xml:space="preserve"> </w:t>
      </w:r>
      <w:r w:rsidR="00FF2D3E">
        <w:t>It</w:t>
      </w:r>
      <w:r w:rsidR="00A137AC" w:rsidRPr="002A1FD6">
        <w:t xml:space="preserve"> </w:t>
      </w:r>
      <w:r w:rsidR="00824BC5" w:rsidRPr="002A1FD6">
        <w:t>may relate, for example, to insufficient resource allocation to facilities with a high proportion of black patients</w:t>
      </w:r>
      <w:r w:rsidR="006D3611">
        <w:t>.</w:t>
      </w:r>
      <w:r w:rsidR="00187ACC" w:rsidRPr="003A7AB3">
        <w:rPr>
          <w:vertAlign w:val="superscript"/>
        </w:rPr>
        <w:t>1</w:t>
      </w:r>
      <w:r w:rsidR="009E30B4">
        <w:rPr>
          <w:vertAlign w:val="superscript"/>
        </w:rPr>
        <w:t>6</w:t>
      </w:r>
      <w:r w:rsidR="00187ACC" w:rsidRPr="003A7AB3">
        <w:rPr>
          <w:vertAlign w:val="superscript"/>
        </w:rPr>
        <w:t>,1</w:t>
      </w:r>
      <w:r w:rsidR="009E30B4">
        <w:rPr>
          <w:vertAlign w:val="superscript"/>
        </w:rPr>
        <w:t>7</w:t>
      </w:r>
      <w:r w:rsidR="00664B91">
        <w:rPr>
          <w:vertAlign w:val="superscript"/>
        </w:rPr>
        <w:t xml:space="preserve"> </w:t>
      </w:r>
      <w:r w:rsidR="006D3611">
        <w:t>A</w:t>
      </w:r>
      <w:r w:rsidR="00824BC5" w:rsidRPr="002A1FD6">
        <w:t xml:space="preserve">lternatively, </w:t>
      </w:r>
      <w:r w:rsidR="00BD0E3C">
        <w:t xml:space="preserve">because </w:t>
      </w:r>
      <w:r w:rsidR="00824BC5" w:rsidRPr="002A1FD6">
        <w:t xml:space="preserve">facilities with many black patients </w:t>
      </w:r>
      <w:r w:rsidR="00BD0E3C">
        <w:t>tend to</w:t>
      </w:r>
      <w:r w:rsidR="00BD0E3C" w:rsidRPr="002A1FD6">
        <w:t xml:space="preserve"> </w:t>
      </w:r>
      <w:r w:rsidR="00824BC5" w:rsidRPr="002A1FD6">
        <w:t>have a higher proportion of patients with low socioeconomic status</w:t>
      </w:r>
      <w:r w:rsidR="00451124">
        <w:t xml:space="preserve">, these </w:t>
      </w:r>
      <w:r w:rsidR="00CD6BEC">
        <w:t xml:space="preserve">facilities work with a population </w:t>
      </w:r>
      <w:r w:rsidR="009C6ACB">
        <w:t xml:space="preserve">that has </w:t>
      </w:r>
      <w:r w:rsidR="00451124">
        <w:t xml:space="preserve">more </w:t>
      </w:r>
      <w:r w:rsidR="009C6ACB">
        <w:t xml:space="preserve">resource intensive </w:t>
      </w:r>
      <w:r w:rsidR="00451124">
        <w:t xml:space="preserve">chronic conditions due to limited access to health care, </w:t>
      </w:r>
      <w:r w:rsidR="009C6ACB">
        <w:t xml:space="preserve">in turn </w:t>
      </w:r>
      <w:r w:rsidR="0072321E">
        <w:t>resulting in</w:t>
      </w:r>
      <w:r w:rsidR="00824BC5" w:rsidRPr="002A1FD6">
        <w:t xml:space="preserve"> poorer outcomes.</w:t>
      </w:r>
      <w:r w:rsidR="00145199">
        <w:rPr>
          <w:rStyle w:val="EndnoteReference"/>
        </w:rPr>
        <w:endnoteReference w:id="20"/>
      </w:r>
      <w:r w:rsidR="00E84A6D" w:rsidRPr="00B24197">
        <w:rPr>
          <w:vertAlign w:val="superscript"/>
        </w:rPr>
        <w:t>,</w:t>
      </w:r>
      <w:r w:rsidR="007969E6">
        <w:rPr>
          <w:rStyle w:val="EndnoteReference"/>
        </w:rPr>
        <w:endnoteReference w:id="21"/>
      </w:r>
      <w:r w:rsidR="0072321E">
        <w:rPr>
          <w:vertAlign w:val="superscript"/>
        </w:rPr>
        <w:t xml:space="preserve"> </w:t>
      </w:r>
      <w:r w:rsidR="003E5304">
        <w:rPr>
          <w:vertAlign w:val="superscript"/>
        </w:rPr>
        <w:t xml:space="preserve"> </w:t>
      </w:r>
      <w:r w:rsidR="003E5304">
        <w:t xml:space="preserve">However this may only be a partial explanation. We </w:t>
      </w:r>
      <w:r w:rsidR="00E57F76">
        <w:t>considered</w:t>
      </w:r>
      <w:r w:rsidR="005E633A">
        <w:t xml:space="preserve"> </w:t>
      </w:r>
      <w:r w:rsidR="0072321E">
        <w:t>a</w:t>
      </w:r>
      <w:r w:rsidR="00E57F76">
        <w:t>n alternative</w:t>
      </w:r>
      <w:r w:rsidR="0072321E">
        <w:t xml:space="preserve"> model that adjusts for </w:t>
      </w:r>
      <w:r w:rsidR="005E633A">
        <w:t xml:space="preserve">patient </w:t>
      </w:r>
      <w:r w:rsidR="0072321E">
        <w:t>socioeconomic status measured at the zip</w:t>
      </w:r>
      <w:r w:rsidR="005E633A">
        <w:t xml:space="preserve"> </w:t>
      </w:r>
      <w:r w:rsidR="0072321E">
        <w:t xml:space="preserve">code level </w:t>
      </w:r>
      <w:r w:rsidR="005E633A">
        <w:t>but this had negligible impact on</w:t>
      </w:r>
      <w:r w:rsidR="0072321E">
        <w:t xml:space="preserve"> the results for race. </w:t>
      </w:r>
    </w:p>
    <w:p w:rsidR="00EF2390" w:rsidRPr="00EF2390" w:rsidRDefault="00EF2390" w:rsidP="005C1D04"/>
    <w:p w:rsidR="003923F0" w:rsidRPr="002A1FD6" w:rsidRDefault="0073729C" w:rsidP="003923F0">
      <w:pPr>
        <w:pStyle w:val="Heading2"/>
      </w:pPr>
      <w:r>
        <w:t xml:space="preserve">Concise </w:t>
      </w:r>
      <w:r w:rsidR="003923F0" w:rsidRPr="002A1FD6">
        <w:t>Method</w:t>
      </w:r>
      <w:r w:rsidR="003923F0">
        <w:t xml:space="preserve">s </w:t>
      </w:r>
    </w:p>
    <w:p w:rsidR="003923F0" w:rsidRDefault="00E373C5" w:rsidP="003923F0">
      <w:pPr>
        <w:spacing w:after="0" w:line="480" w:lineRule="auto"/>
      </w:pPr>
      <w:r>
        <w:t>In our study, we used</w:t>
      </w:r>
      <w:r w:rsidRPr="002A1FD6">
        <w:t xml:space="preserve"> 2007- 2010 </w:t>
      </w:r>
      <w:r>
        <w:t xml:space="preserve">CMS ESRD </w:t>
      </w:r>
      <w:r w:rsidRPr="002A1FD6">
        <w:t>data</w:t>
      </w:r>
      <w:r>
        <w:t xml:space="preserve"> along with mortality data from the Social Security Death Master File.</w:t>
      </w:r>
      <w:r w:rsidR="003923F0">
        <w:rPr>
          <w:i/>
        </w:rPr>
        <w:t xml:space="preserve"> </w:t>
      </w:r>
      <w:r w:rsidR="003923F0">
        <w:t>The SMR is</w:t>
      </w:r>
      <w:r>
        <w:t xml:space="preserve"> based on </w:t>
      </w:r>
      <w:r w:rsidR="003923F0">
        <w:t>a two-stage survival</w:t>
      </w:r>
      <w:r w:rsidR="003923F0" w:rsidRPr="002A1FD6">
        <w:t xml:space="preserve"> model</w:t>
      </w:r>
      <w:r>
        <w:t xml:space="preserve"> applied to four years of data</w:t>
      </w:r>
      <w:r w:rsidR="003923F0">
        <w:t xml:space="preserve">. At </w:t>
      </w:r>
      <w:r w:rsidR="003923F0" w:rsidRPr="009A457A">
        <w:t>Stage 1</w:t>
      </w:r>
      <w:r w:rsidR="003923F0" w:rsidRPr="006B7976">
        <w:t xml:space="preserve">, </w:t>
      </w:r>
      <w:r w:rsidR="003923F0" w:rsidRPr="009A457A">
        <w:t>a</w:t>
      </w:r>
      <w:r w:rsidR="003923F0" w:rsidRPr="009F4A93">
        <w:t xml:space="preserve"> Cox</w:t>
      </w:r>
      <w:r w:rsidR="003923F0" w:rsidRPr="002A1FD6">
        <w:t xml:space="preserve"> </w:t>
      </w:r>
      <w:r w:rsidR="003923F0">
        <w:t>model</w:t>
      </w:r>
      <w:r w:rsidR="003923F0" w:rsidRPr="002A1FD6">
        <w:t xml:space="preserve"> </w:t>
      </w:r>
      <w:r w:rsidR="00573414">
        <w:t xml:space="preserve">with </w:t>
      </w:r>
      <w:r w:rsidR="004A3F91">
        <w:t>facility-</w:t>
      </w:r>
      <w:r w:rsidR="00573414">
        <w:t xml:space="preserve">defining strata </w:t>
      </w:r>
      <w:r w:rsidR="003923F0" w:rsidRPr="002A1FD6">
        <w:t>i</w:t>
      </w:r>
      <w:r w:rsidR="003923F0">
        <w:t>s fitted to estimate</w:t>
      </w:r>
      <w:r w:rsidR="00061389">
        <w:t xml:space="preserve"> </w:t>
      </w:r>
      <w:r w:rsidR="003923F0">
        <w:t>the coefficients of</w:t>
      </w:r>
      <w:r w:rsidR="00061389">
        <w:t xml:space="preserve"> </w:t>
      </w:r>
      <w:r w:rsidR="003923F0" w:rsidRPr="002A1FD6">
        <w:t>patient</w:t>
      </w:r>
      <w:r w:rsidR="003923F0">
        <w:t>-level</w:t>
      </w:r>
      <w:r w:rsidR="003923F0" w:rsidRPr="002A1FD6">
        <w:t xml:space="preserve"> covariates, </w:t>
      </w:r>
      <w:r w:rsidR="003923F0">
        <w:t xml:space="preserve">including </w:t>
      </w:r>
      <w:r w:rsidR="003923F0" w:rsidRPr="002A1FD6">
        <w:t>age, race</w:t>
      </w:r>
      <w:r w:rsidR="00F532FA">
        <w:t>, etc.</w:t>
      </w:r>
      <w:r w:rsidR="004A3F91">
        <w:t>,</w:t>
      </w:r>
      <w:r w:rsidR="00F532FA">
        <w:t xml:space="preserve"> </w:t>
      </w:r>
      <w:r w:rsidR="003923F0">
        <w:t xml:space="preserve">as well as two-way interactions. Stratification by facility has the advantage of </w:t>
      </w:r>
      <w:r w:rsidR="00811F2B">
        <w:t>allowing estimation of covariate effects</w:t>
      </w:r>
      <w:r w:rsidR="003923F0">
        <w:t xml:space="preserve">, while controlling for facility </w:t>
      </w:r>
      <w:r w:rsidR="00811F2B">
        <w:t>differences</w:t>
      </w:r>
      <w:r w:rsidR="003923F0">
        <w:t>. This effectively accounts</w:t>
      </w:r>
      <w:r w:rsidR="003923F0" w:rsidRPr="002A1FD6">
        <w:t xml:space="preserve"> for any confounding</w:t>
      </w:r>
      <w:r w:rsidR="003923F0">
        <w:t xml:space="preserve"> </w:t>
      </w:r>
      <w:r w:rsidR="003923F0" w:rsidRPr="002A1FD6">
        <w:t>that might occur between facility effects and</w:t>
      </w:r>
      <w:r w:rsidR="00811F2B">
        <w:t xml:space="preserve"> the </w:t>
      </w:r>
      <w:r w:rsidR="003923F0" w:rsidRPr="002A1FD6">
        <w:t>covariates.</w:t>
      </w:r>
      <w:r w:rsidR="00F85306">
        <w:rPr>
          <w:rStyle w:val="EndnoteReference"/>
        </w:rPr>
        <w:endnoteReference w:id="22"/>
      </w:r>
      <w:r w:rsidR="00F37D68">
        <w:rPr>
          <w:vertAlign w:val="superscript"/>
        </w:rPr>
        <w:t xml:space="preserve"> </w:t>
      </w:r>
      <w:r w:rsidR="003923F0" w:rsidRPr="00B26ADE">
        <w:t xml:space="preserve">At </w:t>
      </w:r>
      <w:r w:rsidR="003923F0" w:rsidRPr="00AC738E">
        <w:t>Stage 2</w:t>
      </w:r>
      <w:r w:rsidR="003923F0">
        <w:t xml:space="preserve">, </w:t>
      </w:r>
      <w:r w:rsidR="003B3605">
        <w:t>t</w:t>
      </w:r>
      <w:r w:rsidR="003B3605" w:rsidRPr="002A1FD6">
        <w:t>he estimated log relative risk for each patient from the first stage is used as an offset to estimate a national average (across facilities) baseline hazard rate</w:t>
      </w:r>
      <w:r w:rsidR="00127F03" w:rsidRPr="00262BC5">
        <w:t>. At this s</w:t>
      </w:r>
      <w:r w:rsidR="00B577C3" w:rsidRPr="00262BC5">
        <w:t>tage, the model also adjusts for variations in stat</w:t>
      </w:r>
      <w:r w:rsidR="000E4B75" w:rsidRPr="00262BC5">
        <w:t>e wide mortality rates.</w:t>
      </w:r>
      <w:r w:rsidR="007B2F7F" w:rsidRPr="004C5994">
        <w:rPr>
          <w:vertAlign w:val="superscript"/>
        </w:rPr>
        <w:t>1</w:t>
      </w:r>
      <w:r w:rsidR="000E4B75" w:rsidRPr="00262BC5">
        <w:t xml:space="preserve"> </w:t>
      </w:r>
      <w:r w:rsidR="003923F0">
        <w:t>Combining the</w:t>
      </w:r>
      <w:r w:rsidR="003923F0" w:rsidRPr="002A1FD6">
        <w:t xml:space="preserve"> predicted relative risk from the first stage</w:t>
      </w:r>
      <w:r w:rsidR="003923F0">
        <w:t xml:space="preserve"> and the national baseline hazard rate from the second stage, we can</w:t>
      </w:r>
      <w:r w:rsidR="003923F0" w:rsidRPr="002A1FD6">
        <w:t xml:space="preserve"> estimate the ex</w:t>
      </w:r>
      <w:r w:rsidR="003923F0">
        <w:t>pected number of deaths for each</w:t>
      </w:r>
      <w:r w:rsidR="003923F0" w:rsidRPr="002A1FD6">
        <w:t xml:space="preserve"> patient.</w:t>
      </w:r>
      <w:r w:rsidR="00061389">
        <w:t xml:space="preserve"> </w:t>
      </w:r>
      <w:r w:rsidR="003923F0">
        <w:t xml:space="preserve">More details are given in the </w:t>
      </w:r>
      <w:r w:rsidR="00D61FE4">
        <w:t xml:space="preserve">Online </w:t>
      </w:r>
      <w:r w:rsidR="00CD75A7">
        <w:t xml:space="preserve">Supplemental </w:t>
      </w:r>
      <w:r w:rsidR="00D61FE4">
        <w:t xml:space="preserve">Material </w:t>
      </w:r>
      <w:r w:rsidR="003923F0">
        <w:t>and</w:t>
      </w:r>
      <w:r w:rsidR="00F532FA">
        <w:t xml:space="preserve"> </w:t>
      </w:r>
      <w:r w:rsidR="003923F0">
        <w:t xml:space="preserve">in the </w:t>
      </w:r>
      <w:r w:rsidR="00D61FE4">
        <w:t>Dialysis Facility Reports</w:t>
      </w:r>
      <w:r w:rsidR="009F56ED">
        <w:t>.</w:t>
      </w:r>
      <w:r w:rsidR="003923F0" w:rsidRPr="00E87372">
        <w:rPr>
          <w:vertAlign w:val="superscript"/>
        </w:rPr>
        <w:t>1</w:t>
      </w:r>
      <w:r w:rsidR="003923F0">
        <w:t xml:space="preserve"> </w:t>
      </w:r>
    </w:p>
    <w:p w:rsidR="00E57F76" w:rsidRDefault="008F2215" w:rsidP="00EF2390">
      <w:pPr>
        <w:spacing w:after="0" w:line="480" w:lineRule="auto"/>
      </w:pPr>
      <w:r>
        <w:t xml:space="preserve">The </w:t>
      </w:r>
      <w:r w:rsidR="00262BC5">
        <w:t>estimated</w:t>
      </w:r>
      <w:r>
        <w:t xml:space="preserve"> model is t</w:t>
      </w:r>
      <w:r w:rsidR="00ED7F7C">
        <w:t>h</w:t>
      </w:r>
      <w:r>
        <w:t xml:space="preserve">en used to obtain SMRs for each of 5,920 dialysis facilities </w:t>
      </w:r>
      <w:r w:rsidR="00202B7E">
        <w:t>during</w:t>
      </w:r>
      <w:r>
        <w:t xml:space="preserve"> </w:t>
      </w:r>
      <w:r w:rsidR="00202B7E">
        <w:t xml:space="preserve">calendar year </w:t>
      </w:r>
      <w:r>
        <w:t xml:space="preserve">2010. </w:t>
      </w:r>
      <w:r w:rsidR="0076759B">
        <w:t>In Figures 1 and 2, the SMRs for a given decile are computed by summing the observed numbers of deaths in 2010 for each of the facilities in that decile and dividing that by the corresponding sum of the expected numbers of deaths. In Figure 2, an SMR is computed in this way for blacks and non-blacks separately.</w:t>
      </w:r>
      <w:r w:rsidR="00EF2390">
        <w:t xml:space="preserve"> </w:t>
      </w:r>
    </w:p>
    <w:p w:rsidR="003923F0" w:rsidRDefault="00EF2390" w:rsidP="007A1932">
      <w:pPr>
        <w:spacing w:after="0" w:line="480" w:lineRule="auto"/>
      </w:pPr>
      <w:r>
        <w:t xml:space="preserve">There has been discussion relating the SMR </w:t>
      </w:r>
      <w:r w:rsidR="004158CE">
        <w:t xml:space="preserve">and </w:t>
      </w:r>
      <w:r>
        <w:t xml:space="preserve">facility </w:t>
      </w:r>
      <w:r w:rsidRPr="008123B5">
        <w:t>characteristics</w:t>
      </w:r>
      <w:r w:rsidR="0074143E">
        <w:t xml:space="preserve"> in the literature</w:t>
      </w:r>
      <w:r w:rsidRPr="0008312B">
        <w:t>.</w:t>
      </w:r>
      <w:r w:rsidR="008822D4">
        <w:rPr>
          <w:rStyle w:val="EndnoteReference"/>
        </w:rPr>
        <w:endnoteReference w:id="23"/>
      </w:r>
      <w:r>
        <w:t xml:space="preserve"> There has </w:t>
      </w:r>
      <w:r w:rsidR="000350B2">
        <w:t xml:space="preserve">also </w:t>
      </w:r>
      <w:r>
        <w:t>been</w:t>
      </w:r>
      <w:r w:rsidR="000350B2">
        <w:t xml:space="preserve"> </w:t>
      </w:r>
      <w:r>
        <w:t>a</w:t>
      </w:r>
      <w:r w:rsidRPr="00A815D3">
        <w:t xml:space="preserve"> critical </w:t>
      </w:r>
      <w:r>
        <w:t>review</w:t>
      </w:r>
      <w:r w:rsidRPr="00A815D3">
        <w:t xml:space="preserve"> and a response</w:t>
      </w:r>
      <w:r>
        <w:t>.</w:t>
      </w:r>
      <w:r w:rsidR="00A20021">
        <w:rPr>
          <w:rStyle w:val="EndnoteReference"/>
        </w:rPr>
        <w:endnoteReference w:id="24"/>
      </w:r>
      <w:r w:rsidR="00D668DC" w:rsidRPr="00007442">
        <w:rPr>
          <w:vertAlign w:val="superscript"/>
        </w:rPr>
        <w:t>,</w:t>
      </w:r>
      <w:r w:rsidR="00D668DC">
        <w:rPr>
          <w:rStyle w:val="EndnoteReference"/>
        </w:rPr>
        <w:endnoteReference w:id="25"/>
      </w:r>
      <w:r w:rsidR="00D668DC" w:rsidRPr="00007442">
        <w:rPr>
          <w:vertAlign w:val="superscript"/>
        </w:rPr>
        <w:t xml:space="preserve"> </w:t>
      </w:r>
      <w:r>
        <w:t>Other methods of computing SMRs were discussed and compared in</w:t>
      </w:r>
      <w:r w:rsidRPr="00A66987">
        <w:t xml:space="preserve"> Kalbfleisch and Wolfe</w:t>
      </w:r>
      <w:r>
        <w:t>.</w:t>
      </w:r>
      <w:r w:rsidR="000C6ABE" w:rsidRPr="00007442">
        <w:rPr>
          <w:vertAlign w:val="superscript"/>
        </w:rPr>
        <w:t>21</w:t>
      </w:r>
    </w:p>
    <w:p w:rsidR="004F3828" w:rsidRDefault="004F3828">
      <w:pPr>
        <w:spacing w:after="0" w:line="240" w:lineRule="auto"/>
        <w:rPr>
          <w:b/>
        </w:rPr>
      </w:pPr>
      <w:r>
        <w:rPr>
          <w:b/>
        </w:rPr>
        <w:br w:type="page"/>
      </w:r>
    </w:p>
    <w:p w:rsidR="009B568B" w:rsidRPr="002A1FD6" w:rsidRDefault="009B568B" w:rsidP="005C4CBB">
      <w:pPr>
        <w:pStyle w:val="Heading2"/>
      </w:pPr>
      <w:r w:rsidRPr="002A1FD6">
        <w:t>Acknowledgements</w:t>
      </w:r>
    </w:p>
    <w:p w:rsidR="006470C6" w:rsidRPr="005C4CBB" w:rsidRDefault="006470C6" w:rsidP="006470C6">
      <w:pPr>
        <w:spacing w:after="0" w:line="480" w:lineRule="auto"/>
      </w:pPr>
      <w:r>
        <w:t xml:space="preserve">The authors would like to </w:t>
      </w:r>
      <w:r w:rsidR="00AD1ABC">
        <w:t xml:space="preserve">thank </w:t>
      </w:r>
      <w:r>
        <w:t>Ruth Shamraj</w:t>
      </w:r>
      <w:r w:rsidR="00AD1ABC">
        <w:t xml:space="preserve"> for help in editing the manuscript</w:t>
      </w:r>
      <w:r>
        <w:t>.</w:t>
      </w:r>
    </w:p>
    <w:p w:rsidR="00FD1C6B" w:rsidRDefault="00FD1C6B" w:rsidP="00D33DEB">
      <w:pPr>
        <w:spacing w:after="0" w:line="480" w:lineRule="auto"/>
        <w:rPr>
          <w:bCs/>
        </w:rPr>
      </w:pPr>
      <w:r w:rsidRPr="00FD1C6B">
        <w:rPr>
          <w:bCs/>
        </w:rPr>
        <w:t>This research is partially supported under the Department of Health and Human Services Centers for Medicare and Medicaid Services contracts (Contract HHSM-500-2013013017l; Contract HHSM-500-2011-00091C). The content of this publication does not necessarily reflect the views or policies of the Department of Health and Human Services, nor does mention of trade names, commercial products, or organizations imply endorsement by the US Government. The author assumes full responsibility for the accuracy and completeness of the ideas presented.</w:t>
      </w:r>
    </w:p>
    <w:p w:rsidR="00DD4E4C" w:rsidRDefault="00DD4E4C" w:rsidP="00824BC5">
      <w:pPr>
        <w:spacing w:after="0" w:line="480" w:lineRule="auto"/>
        <w:rPr>
          <w:bCs/>
        </w:rPr>
      </w:pPr>
      <w:r w:rsidRPr="002A1FD6">
        <w:rPr>
          <w:bCs/>
        </w:rPr>
        <w:t>The University of Michigan Kidney Epidemiology and Cost Center (UM-KECC) produces the Dialysis Facility Reports (DFR), Dialysis Facility Compare (DFC) measures, and supporting documentation under contract to CMS.</w:t>
      </w:r>
      <w:r>
        <w:rPr>
          <w:bCs/>
        </w:rPr>
        <w:t xml:space="preserve"> </w:t>
      </w:r>
      <w:r w:rsidRPr="002A1FD6">
        <w:rPr>
          <w:bCs/>
        </w:rPr>
        <w:t xml:space="preserve">Information regarding the DFR and the DFC measures is available </w:t>
      </w:r>
      <w:r>
        <w:rPr>
          <w:bCs/>
        </w:rPr>
        <w:t xml:space="preserve">at </w:t>
      </w:r>
      <w:r w:rsidRPr="00683579">
        <w:rPr>
          <w:bCs/>
        </w:rPr>
        <w:t>https://dialysisdata.org/content/methodology</w:t>
      </w:r>
      <w:r w:rsidRPr="002A1FD6">
        <w:rPr>
          <w:bCs/>
        </w:rPr>
        <w:t>.</w:t>
      </w:r>
      <w:r>
        <w:rPr>
          <w:bCs/>
        </w:rPr>
        <w:t xml:space="preserve"> Note: Before September 2014 this documentation was available at http://www.dialysisreports.org which previously supported previews of the DFR and DFC data to facilities.</w:t>
      </w:r>
    </w:p>
    <w:p w:rsidR="000E7240" w:rsidRDefault="000E7240" w:rsidP="000E7240">
      <w:pPr>
        <w:spacing w:after="0" w:line="480" w:lineRule="auto"/>
      </w:pPr>
      <w:r w:rsidRPr="005C4CBB">
        <w:t>Neither the manuscript nor any significant part are under consideration for publication elsewhere or have appeared elsewhere that might be construed as prior publication or duplicate work.</w:t>
      </w:r>
      <w:r>
        <w:t xml:space="preserve"> A previous version of this work was presented at the AcademyHealth Annual Research Meeting in 2012.</w:t>
      </w:r>
    </w:p>
    <w:p w:rsidR="00EA39B1" w:rsidRPr="00D4575B" w:rsidRDefault="00EA39B1" w:rsidP="00EA39B1">
      <w:pPr>
        <w:autoSpaceDE w:val="0"/>
        <w:autoSpaceDN w:val="0"/>
        <w:adjustRightInd w:val="0"/>
        <w:spacing w:after="0" w:line="480" w:lineRule="auto"/>
        <w:jc w:val="both"/>
      </w:pPr>
      <w:r w:rsidRPr="00FC292B">
        <w:t>Kalbfleisch,</w:t>
      </w:r>
      <w:r>
        <w:t xml:space="preserve"> J.D., </w:t>
      </w:r>
      <w:r w:rsidRPr="00FC292B">
        <w:t xml:space="preserve">Sun, </w:t>
      </w:r>
      <w:r>
        <w:t>R.J.</w:t>
      </w:r>
      <w:r w:rsidRPr="00FC292B">
        <w:t>, Messana,</w:t>
      </w:r>
      <w:r>
        <w:t xml:space="preserve"> J.M.,</w:t>
      </w:r>
      <w:r w:rsidRPr="00FC292B">
        <w:t xml:space="preserve"> Shearon,</w:t>
      </w:r>
      <w:r>
        <w:t xml:space="preserve"> T., </w:t>
      </w:r>
      <w:r w:rsidRPr="00FC292B">
        <w:t>Ashby,</w:t>
      </w:r>
      <w:r>
        <w:t xml:space="preserve"> V.,</w:t>
      </w:r>
      <w:r w:rsidRPr="00FC292B">
        <w:t xml:space="preserve"> Li,</w:t>
      </w:r>
      <w:r>
        <w:t xml:space="preserve"> Y., </w:t>
      </w:r>
      <w:r w:rsidRPr="00FC292B">
        <w:t>Sands,</w:t>
      </w:r>
      <w:r>
        <w:t xml:space="preserve"> R., </w:t>
      </w:r>
      <w:r w:rsidRPr="00FC292B">
        <w:t>Zhang,</w:t>
      </w:r>
      <w:r>
        <w:t xml:space="preserve"> M.</w:t>
      </w:r>
      <w:r w:rsidRPr="00FC292B">
        <w:t xml:space="preserve">, </w:t>
      </w:r>
      <w:r w:rsidRPr="00FC292B">
        <w:br/>
      </w:r>
      <w:r w:rsidRPr="005C433C">
        <w:t>Casino, S</w:t>
      </w:r>
      <w:r w:rsidRPr="00EA39B1">
        <w:rPr>
          <w:b/>
        </w:rPr>
        <w:t>.</w:t>
      </w:r>
      <w:r w:rsidRPr="00FC292B">
        <w:t xml:space="preserve">, Turenne, </w:t>
      </w:r>
      <w:r>
        <w:t xml:space="preserve">M., </w:t>
      </w:r>
      <w:r w:rsidRPr="00FC292B">
        <w:t xml:space="preserve">Pearson, </w:t>
      </w:r>
      <w:r>
        <w:t>J.</w:t>
      </w:r>
      <w:r w:rsidRPr="00FC292B">
        <w:t xml:space="preserve">, Wolfe, </w:t>
      </w:r>
      <w:r>
        <w:t xml:space="preserve">R.A. </w:t>
      </w:r>
      <w:r w:rsidRPr="00FC292B">
        <w:t>Separating Patient and Facility Effects in Assessing Racial Disparities in Dialysis Mortality Out</w:t>
      </w:r>
      <w:r>
        <w:t xml:space="preserve">comes. </w:t>
      </w:r>
      <w:r w:rsidRPr="00EA39B1">
        <w:rPr>
          <w:i/>
        </w:rPr>
        <w:t>Poster presentation at AcademyHealth Annual Research Meeting, 2012.</w:t>
      </w:r>
    </w:p>
    <w:p w:rsidR="00824BC5" w:rsidRPr="002A1FD6" w:rsidRDefault="004F3828" w:rsidP="005C4CBB">
      <w:pPr>
        <w:pStyle w:val="Heading2"/>
      </w:pPr>
      <w:r>
        <w:t>Disclosures</w:t>
      </w:r>
    </w:p>
    <w:p w:rsidR="008A1D1E" w:rsidRDefault="007153A3" w:rsidP="00D33DEB">
      <w:pPr>
        <w:spacing w:after="0" w:line="240" w:lineRule="auto"/>
        <w:rPr>
          <w:bCs/>
        </w:rPr>
      </w:pPr>
      <w:r>
        <w:rPr>
          <w:bCs/>
        </w:rPr>
        <w:t>The authors do not have financial conflict</w:t>
      </w:r>
      <w:r w:rsidR="00BC4688">
        <w:rPr>
          <w:bCs/>
        </w:rPr>
        <w:t>s</w:t>
      </w:r>
      <w:r>
        <w:rPr>
          <w:bCs/>
        </w:rPr>
        <w:t xml:space="preserve"> of interests to disclose.</w:t>
      </w:r>
      <w:bookmarkEnd w:id="0"/>
      <w:bookmarkEnd w:id="1"/>
    </w:p>
    <w:p w:rsidR="00016A35" w:rsidRDefault="00016A35">
      <w:pPr>
        <w:spacing w:after="0" w:line="240" w:lineRule="auto"/>
        <w:rPr>
          <w:bCs/>
        </w:rPr>
      </w:pPr>
      <w:r>
        <w:rPr>
          <w:bCs/>
        </w:rPr>
        <w:br w:type="page"/>
      </w:r>
    </w:p>
    <w:p w:rsidR="00016A35" w:rsidRDefault="00016A35" w:rsidP="00183697">
      <w:pPr>
        <w:pStyle w:val="Heading2"/>
        <w:sectPr w:rsidR="00016A35" w:rsidSect="009C5249">
          <w:footerReference w:type="default" r:id="rId13"/>
          <w:footerReference w:type="first" r:id="rId14"/>
          <w:endnotePr>
            <w:numFmt w:val="decimal"/>
          </w:endnotePr>
          <w:pgSz w:w="12240" w:h="15840"/>
          <w:pgMar w:top="1440" w:right="1440" w:bottom="1440" w:left="1440" w:header="720" w:footer="720" w:gutter="0"/>
          <w:pgNumType w:start="1"/>
          <w:cols w:space="720"/>
          <w:docGrid w:linePitch="360"/>
        </w:sectPr>
      </w:pPr>
      <w:r w:rsidRPr="00F751AC">
        <w:t>References</w:t>
      </w:r>
    </w:p>
    <w:tbl>
      <w:tblPr>
        <w:tblW w:w="9825" w:type="dxa"/>
        <w:tblInd w:w="93" w:type="dxa"/>
        <w:tblLook w:val="04A0" w:firstRow="1" w:lastRow="0" w:firstColumn="1" w:lastColumn="0" w:noHBand="0" w:noVBand="1"/>
      </w:tblPr>
      <w:tblGrid>
        <w:gridCol w:w="3705"/>
        <w:gridCol w:w="2610"/>
        <w:gridCol w:w="1800"/>
        <w:gridCol w:w="1710"/>
      </w:tblGrid>
      <w:tr w:rsidR="00EE5622" w:rsidRPr="00E211EA" w:rsidTr="00FD560A">
        <w:trPr>
          <w:trHeight w:val="255"/>
        </w:trPr>
        <w:tc>
          <w:tcPr>
            <w:tcW w:w="9825" w:type="dxa"/>
            <w:gridSpan w:val="4"/>
            <w:tcBorders>
              <w:left w:val="nil"/>
              <w:right w:val="nil"/>
            </w:tcBorders>
            <w:shd w:val="clear" w:color="auto" w:fill="auto"/>
            <w:noWrap/>
            <w:vAlign w:val="bottom"/>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2160"/>
            </w:tblGrid>
            <w:tr w:rsidR="000E4B75" w:rsidRPr="002A1FD6" w:rsidTr="006F3EAB">
              <w:trPr>
                <w:trHeight w:val="255"/>
              </w:trPr>
              <w:tc>
                <w:tcPr>
                  <w:tcW w:w="6588" w:type="dxa"/>
                  <w:gridSpan w:val="2"/>
                  <w:tcBorders>
                    <w:bottom w:val="single" w:sz="4" w:space="0" w:color="auto"/>
                  </w:tcBorders>
                  <w:noWrap/>
                </w:tcPr>
                <w:p w:rsidR="000E4B75" w:rsidRPr="007978BD" w:rsidRDefault="000E4B75" w:rsidP="00BB45F0">
                  <w:pPr>
                    <w:spacing w:after="240" w:line="480" w:lineRule="auto"/>
                    <w:rPr>
                      <w:szCs w:val="24"/>
                    </w:rPr>
                  </w:pPr>
                  <w:r w:rsidRPr="002A1FD6">
                    <w:rPr>
                      <w:b/>
                    </w:rPr>
                    <w:t xml:space="preserve">Table </w:t>
                  </w:r>
                  <w:r>
                    <w:rPr>
                      <w:b/>
                    </w:rPr>
                    <w:t>1</w:t>
                  </w:r>
                  <w:r w:rsidRPr="002A1FD6">
                    <w:rPr>
                      <w:b/>
                    </w:rPr>
                    <w:t>.</w:t>
                  </w:r>
                  <w:r w:rsidRPr="002A1FD6">
                    <w:t xml:space="preserve"> Patient </w:t>
                  </w:r>
                  <w:r>
                    <w:t>d</w:t>
                  </w:r>
                  <w:r w:rsidRPr="002A1FD6">
                    <w:t xml:space="preserve">emographics </w:t>
                  </w:r>
                  <w:r w:rsidR="00575B43">
                    <w:t>of</w:t>
                  </w:r>
                  <w:r w:rsidR="002424F5">
                    <w:t xml:space="preserve"> 514,</w:t>
                  </w:r>
                  <w:r w:rsidR="00505DFD">
                    <w:t>357 ESRD patients who contribute to the comp</w:t>
                  </w:r>
                  <w:r w:rsidR="00575B43">
                    <w:t>a</w:t>
                  </w:r>
                  <w:r w:rsidR="00505DFD">
                    <w:t>risons of SMRs for the year 2010</w:t>
                  </w:r>
                  <w:r w:rsidR="00061389">
                    <w:t xml:space="preserve"> </w:t>
                  </w:r>
                  <w:r w:rsidR="00163E9A">
                    <w:t>(e</w:t>
                  </w:r>
                  <w:r w:rsidRPr="002A1FD6">
                    <w:t>ntries are percent</w:t>
                  </w:r>
                  <w:r>
                    <w:t>age</w:t>
                  </w:r>
                  <w:r w:rsidRPr="002A1FD6">
                    <w:t>s or sample means.</w:t>
                  </w:r>
                  <w:r w:rsidR="00163E9A">
                    <w:t>)</w:t>
                  </w:r>
                </w:p>
              </w:tc>
            </w:tr>
            <w:tr w:rsidR="00C729E4" w:rsidRPr="002A1FD6" w:rsidTr="006F3EAB">
              <w:trPr>
                <w:trHeight w:val="255"/>
              </w:trPr>
              <w:tc>
                <w:tcPr>
                  <w:tcW w:w="4428" w:type="dxa"/>
                  <w:tcBorders>
                    <w:top w:val="single" w:sz="4" w:space="0" w:color="auto"/>
                  </w:tcBorders>
                  <w:noWrap/>
                  <w:hideMark/>
                </w:tcPr>
                <w:p w:rsidR="00C729E4" w:rsidRPr="002A1FD6" w:rsidRDefault="00C729E4" w:rsidP="006F3EAB">
                  <w:pPr>
                    <w:spacing w:after="0" w:line="480" w:lineRule="auto"/>
                  </w:pPr>
                  <w:r w:rsidRPr="002A1FD6">
                    <w:t xml:space="preserve">Patients by </w:t>
                  </w:r>
                  <w:r>
                    <w:t>a</w:t>
                  </w:r>
                  <w:r w:rsidRPr="002A1FD6">
                    <w:t xml:space="preserve">ge </w:t>
                  </w:r>
                  <w:r>
                    <w:t>g</w:t>
                  </w:r>
                  <w:r w:rsidRPr="002A1FD6">
                    <w:t>roup (%)</w:t>
                  </w:r>
                </w:p>
              </w:tc>
              <w:tc>
                <w:tcPr>
                  <w:tcW w:w="2160" w:type="dxa"/>
                  <w:tcBorders>
                    <w:top w:val="single" w:sz="4" w:space="0" w:color="auto"/>
                  </w:tcBorders>
                  <w:noWrap/>
                  <w:vAlign w:val="bottom"/>
                </w:tcPr>
                <w:p w:rsidR="00C729E4" w:rsidRPr="002A1FD6" w:rsidRDefault="00C729E4" w:rsidP="006F3EAB">
                  <w:pPr>
                    <w:spacing w:after="0"/>
                    <w:jc w:val="center"/>
                  </w:pPr>
                </w:p>
              </w:tc>
            </w:tr>
            <w:tr w:rsidR="00C729E4" w:rsidRPr="002A1FD6" w:rsidTr="008D6FC7">
              <w:trPr>
                <w:trHeight w:val="255"/>
              </w:trPr>
              <w:tc>
                <w:tcPr>
                  <w:tcW w:w="4428" w:type="dxa"/>
                  <w:noWrap/>
                </w:tcPr>
                <w:p w:rsidR="00C729E4" w:rsidRPr="002A1FD6" w:rsidRDefault="00C729E4" w:rsidP="00720640">
                  <w:pPr>
                    <w:spacing w:after="0" w:line="480" w:lineRule="auto"/>
                    <w:ind w:left="576"/>
                  </w:pPr>
                  <w:r w:rsidRPr="002A1FD6">
                    <w:t>&lt; 18</w:t>
                  </w:r>
                </w:p>
              </w:tc>
              <w:tc>
                <w:tcPr>
                  <w:tcW w:w="2160" w:type="dxa"/>
                  <w:noWrap/>
                  <w:vAlign w:val="center"/>
                </w:tcPr>
                <w:p w:rsidR="00C729E4" w:rsidRPr="002A1FD6" w:rsidRDefault="00C729E4" w:rsidP="005A01A6">
                  <w:pPr>
                    <w:spacing w:after="0"/>
                    <w:ind w:left="576" w:right="543"/>
                    <w:jc w:val="right"/>
                  </w:pPr>
                  <w:r w:rsidRPr="002A1FD6">
                    <w:t>0.5%</w:t>
                  </w:r>
                </w:p>
              </w:tc>
            </w:tr>
            <w:tr w:rsidR="00C729E4" w:rsidRPr="002A1FD6" w:rsidTr="008D6FC7">
              <w:trPr>
                <w:trHeight w:val="255"/>
              </w:trPr>
              <w:tc>
                <w:tcPr>
                  <w:tcW w:w="4428" w:type="dxa"/>
                  <w:noWrap/>
                  <w:vAlign w:val="center"/>
                  <w:hideMark/>
                </w:tcPr>
                <w:p w:rsidR="00C729E4" w:rsidRPr="002A1FD6" w:rsidRDefault="00C729E4" w:rsidP="00720640">
                  <w:pPr>
                    <w:spacing w:after="0" w:line="480" w:lineRule="auto"/>
                    <w:ind w:left="576"/>
                  </w:pPr>
                  <w:r w:rsidRPr="002A1FD6">
                    <w:t>18-64</w:t>
                  </w:r>
                </w:p>
              </w:tc>
              <w:tc>
                <w:tcPr>
                  <w:tcW w:w="2160" w:type="dxa"/>
                  <w:noWrap/>
                  <w:vAlign w:val="center"/>
                  <w:hideMark/>
                </w:tcPr>
                <w:p w:rsidR="00C729E4" w:rsidRPr="002A1FD6" w:rsidRDefault="00C729E4" w:rsidP="005A01A6">
                  <w:pPr>
                    <w:spacing w:after="0"/>
                    <w:ind w:left="576" w:right="543"/>
                    <w:jc w:val="right"/>
                  </w:pPr>
                  <w:r w:rsidRPr="002A1FD6">
                    <w:t>55.9%</w:t>
                  </w:r>
                </w:p>
              </w:tc>
            </w:tr>
            <w:tr w:rsidR="00C729E4" w:rsidRPr="002A1FD6" w:rsidTr="006F3EAB">
              <w:trPr>
                <w:trHeight w:val="255"/>
              </w:trPr>
              <w:tc>
                <w:tcPr>
                  <w:tcW w:w="4428" w:type="dxa"/>
                  <w:noWrap/>
                  <w:hideMark/>
                </w:tcPr>
                <w:p w:rsidR="00C729E4" w:rsidRPr="002A1FD6" w:rsidRDefault="00C729E4" w:rsidP="006F3EAB">
                  <w:pPr>
                    <w:spacing w:after="0" w:line="480" w:lineRule="auto"/>
                    <w:ind w:left="576"/>
                  </w:pPr>
                  <w:r w:rsidRPr="002A1FD6">
                    <w:t>65+</w:t>
                  </w:r>
                </w:p>
              </w:tc>
              <w:tc>
                <w:tcPr>
                  <w:tcW w:w="2160" w:type="dxa"/>
                  <w:noWrap/>
                  <w:vAlign w:val="center"/>
                  <w:hideMark/>
                </w:tcPr>
                <w:p w:rsidR="00C729E4" w:rsidRPr="002A1FD6" w:rsidRDefault="00C729E4" w:rsidP="005A01A6">
                  <w:pPr>
                    <w:spacing w:after="0"/>
                    <w:ind w:left="576" w:right="543"/>
                    <w:jc w:val="right"/>
                  </w:pPr>
                  <w:r w:rsidRPr="002A1FD6">
                    <w:t>43.6%</w:t>
                  </w:r>
                </w:p>
              </w:tc>
            </w:tr>
            <w:tr w:rsidR="00C729E4" w:rsidRPr="002A1FD6" w:rsidTr="008D6FC7">
              <w:trPr>
                <w:trHeight w:val="255"/>
              </w:trPr>
              <w:tc>
                <w:tcPr>
                  <w:tcW w:w="4428" w:type="dxa"/>
                  <w:noWrap/>
                  <w:vAlign w:val="center"/>
                  <w:hideMark/>
                </w:tcPr>
                <w:p w:rsidR="00C729E4" w:rsidRPr="002A1FD6" w:rsidRDefault="00C729E4" w:rsidP="00720640">
                  <w:pPr>
                    <w:spacing w:after="0" w:line="480" w:lineRule="auto"/>
                  </w:pPr>
                  <w:r w:rsidRPr="002A1FD6">
                    <w:t xml:space="preserve">Female </w:t>
                  </w:r>
                  <w:r>
                    <w:t>p</w:t>
                  </w:r>
                  <w:r w:rsidRPr="002A1FD6">
                    <w:t>atients (%)</w:t>
                  </w:r>
                </w:p>
              </w:tc>
              <w:tc>
                <w:tcPr>
                  <w:tcW w:w="2160" w:type="dxa"/>
                  <w:noWrap/>
                  <w:vAlign w:val="center"/>
                  <w:hideMark/>
                </w:tcPr>
                <w:p w:rsidR="00C729E4" w:rsidRPr="002A1FD6" w:rsidRDefault="00C729E4" w:rsidP="005A01A6">
                  <w:pPr>
                    <w:spacing w:after="0"/>
                    <w:ind w:left="576" w:right="543"/>
                    <w:jc w:val="right"/>
                  </w:pPr>
                  <w:r w:rsidRPr="002A1FD6">
                    <w:t>44.6%</w:t>
                  </w:r>
                </w:p>
              </w:tc>
            </w:tr>
            <w:tr w:rsidR="00C729E4" w:rsidRPr="002A1FD6" w:rsidTr="006F3EAB">
              <w:trPr>
                <w:trHeight w:val="255"/>
              </w:trPr>
              <w:tc>
                <w:tcPr>
                  <w:tcW w:w="4428" w:type="dxa"/>
                  <w:noWrap/>
                </w:tcPr>
                <w:p w:rsidR="00C729E4" w:rsidRPr="002A1FD6" w:rsidRDefault="00C729E4" w:rsidP="006F3EAB">
                  <w:pPr>
                    <w:spacing w:after="0" w:line="480" w:lineRule="auto"/>
                  </w:pPr>
                  <w:r w:rsidRPr="002A1FD6">
                    <w:t xml:space="preserve">Patients by </w:t>
                  </w:r>
                  <w:r>
                    <w:t>r</w:t>
                  </w:r>
                  <w:r w:rsidRPr="002A1FD6">
                    <w:t>ace (%)</w:t>
                  </w:r>
                </w:p>
              </w:tc>
              <w:tc>
                <w:tcPr>
                  <w:tcW w:w="2160" w:type="dxa"/>
                  <w:noWrap/>
                  <w:vAlign w:val="center"/>
                </w:tcPr>
                <w:p w:rsidR="00C729E4" w:rsidRPr="002A1FD6" w:rsidRDefault="00C729E4" w:rsidP="005A01A6">
                  <w:pPr>
                    <w:spacing w:after="0"/>
                    <w:ind w:left="576" w:right="543"/>
                    <w:jc w:val="right"/>
                  </w:pPr>
                </w:p>
              </w:tc>
            </w:tr>
            <w:tr w:rsidR="00C729E4" w:rsidRPr="002A1FD6" w:rsidTr="006F3EAB">
              <w:trPr>
                <w:trHeight w:val="255"/>
              </w:trPr>
              <w:tc>
                <w:tcPr>
                  <w:tcW w:w="4428" w:type="dxa"/>
                  <w:noWrap/>
                </w:tcPr>
                <w:p w:rsidR="00C729E4" w:rsidRPr="002A1FD6" w:rsidRDefault="00C729E4" w:rsidP="006F3EAB">
                  <w:pPr>
                    <w:spacing w:after="0" w:line="480" w:lineRule="auto"/>
                    <w:ind w:left="576"/>
                  </w:pPr>
                  <w:r w:rsidRPr="002A1FD6">
                    <w:t>White</w:t>
                  </w:r>
                </w:p>
              </w:tc>
              <w:tc>
                <w:tcPr>
                  <w:tcW w:w="2160" w:type="dxa"/>
                  <w:noWrap/>
                  <w:vAlign w:val="center"/>
                </w:tcPr>
                <w:p w:rsidR="00C729E4" w:rsidRPr="002A1FD6" w:rsidRDefault="00C729E4" w:rsidP="005A01A6">
                  <w:pPr>
                    <w:spacing w:after="0"/>
                    <w:ind w:left="576" w:right="543"/>
                    <w:jc w:val="right"/>
                  </w:pPr>
                  <w:r w:rsidRPr="002A1FD6">
                    <w:t>57.1%</w:t>
                  </w:r>
                </w:p>
              </w:tc>
            </w:tr>
            <w:tr w:rsidR="00C729E4" w:rsidRPr="002A1FD6" w:rsidTr="006F3EAB">
              <w:trPr>
                <w:trHeight w:val="255"/>
              </w:trPr>
              <w:tc>
                <w:tcPr>
                  <w:tcW w:w="4428" w:type="dxa"/>
                  <w:noWrap/>
                </w:tcPr>
                <w:p w:rsidR="00C729E4" w:rsidRPr="002A1FD6" w:rsidRDefault="00C729E4" w:rsidP="006F3EAB">
                  <w:pPr>
                    <w:spacing w:after="0" w:line="480" w:lineRule="auto"/>
                    <w:ind w:left="576"/>
                  </w:pPr>
                  <w:r w:rsidRPr="002A1FD6">
                    <w:t>Black</w:t>
                  </w:r>
                </w:p>
              </w:tc>
              <w:tc>
                <w:tcPr>
                  <w:tcW w:w="2160" w:type="dxa"/>
                  <w:noWrap/>
                  <w:vAlign w:val="center"/>
                </w:tcPr>
                <w:p w:rsidR="00C729E4" w:rsidRPr="002A1FD6" w:rsidRDefault="00C729E4" w:rsidP="005A01A6">
                  <w:pPr>
                    <w:spacing w:after="0"/>
                    <w:ind w:left="576" w:right="543"/>
                    <w:jc w:val="right"/>
                  </w:pPr>
                  <w:r w:rsidRPr="002A1FD6">
                    <w:t>35.6%</w:t>
                  </w:r>
                </w:p>
              </w:tc>
            </w:tr>
            <w:tr w:rsidR="00C729E4" w:rsidRPr="002A1FD6" w:rsidTr="006F3EAB">
              <w:trPr>
                <w:trHeight w:val="255"/>
              </w:trPr>
              <w:tc>
                <w:tcPr>
                  <w:tcW w:w="4428" w:type="dxa"/>
                  <w:noWrap/>
                </w:tcPr>
                <w:p w:rsidR="00C729E4" w:rsidRPr="002A1FD6" w:rsidRDefault="00C729E4" w:rsidP="006F3EAB">
                  <w:pPr>
                    <w:spacing w:after="0" w:line="480" w:lineRule="auto"/>
                    <w:ind w:left="576"/>
                  </w:pPr>
                  <w:r w:rsidRPr="002A1FD6">
                    <w:t>Asian/Pacific Island</w:t>
                  </w:r>
                  <w:r w:rsidR="00984332">
                    <w:t>er</w:t>
                  </w:r>
                </w:p>
              </w:tc>
              <w:tc>
                <w:tcPr>
                  <w:tcW w:w="2160" w:type="dxa"/>
                  <w:noWrap/>
                  <w:vAlign w:val="center"/>
                </w:tcPr>
                <w:p w:rsidR="00C729E4" w:rsidRPr="002A1FD6" w:rsidRDefault="00C729E4" w:rsidP="005A01A6">
                  <w:pPr>
                    <w:spacing w:after="0"/>
                    <w:ind w:left="576" w:right="543"/>
                    <w:jc w:val="right"/>
                  </w:pPr>
                  <w:r w:rsidRPr="002A1FD6">
                    <w:t>4.8%</w:t>
                  </w:r>
                </w:p>
              </w:tc>
            </w:tr>
            <w:tr w:rsidR="00C729E4" w:rsidRPr="002A1FD6" w:rsidTr="006F3EAB">
              <w:trPr>
                <w:trHeight w:val="255"/>
              </w:trPr>
              <w:tc>
                <w:tcPr>
                  <w:tcW w:w="4428" w:type="dxa"/>
                  <w:noWrap/>
                  <w:hideMark/>
                </w:tcPr>
                <w:p w:rsidR="00C729E4" w:rsidRPr="002A1FD6" w:rsidRDefault="00C729E4" w:rsidP="006F3EAB">
                  <w:pPr>
                    <w:spacing w:after="0" w:line="480" w:lineRule="auto"/>
                    <w:ind w:left="576"/>
                  </w:pPr>
                  <w:r w:rsidRPr="002A1FD6">
                    <w:t>Native American</w:t>
                  </w:r>
                </w:p>
              </w:tc>
              <w:tc>
                <w:tcPr>
                  <w:tcW w:w="2160" w:type="dxa"/>
                  <w:noWrap/>
                  <w:vAlign w:val="center"/>
                  <w:hideMark/>
                </w:tcPr>
                <w:p w:rsidR="00C729E4" w:rsidRPr="002A1FD6" w:rsidRDefault="00C729E4" w:rsidP="005A01A6">
                  <w:pPr>
                    <w:spacing w:after="0"/>
                    <w:ind w:left="576" w:right="543"/>
                    <w:jc w:val="right"/>
                  </w:pPr>
                  <w:r w:rsidRPr="002A1FD6">
                    <w:t>1.4%</w:t>
                  </w:r>
                </w:p>
              </w:tc>
            </w:tr>
            <w:tr w:rsidR="00C729E4" w:rsidRPr="002A1FD6" w:rsidTr="006F3EAB">
              <w:trPr>
                <w:trHeight w:val="255"/>
              </w:trPr>
              <w:tc>
                <w:tcPr>
                  <w:tcW w:w="4428" w:type="dxa"/>
                  <w:noWrap/>
                  <w:hideMark/>
                </w:tcPr>
                <w:p w:rsidR="00C729E4" w:rsidRPr="002A1FD6" w:rsidRDefault="00C729E4" w:rsidP="006F3EAB">
                  <w:pPr>
                    <w:spacing w:after="0" w:line="480" w:lineRule="auto"/>
                    <w:ind w:left="576"/>
                  </w:pPr>
                  <w:r w:rsidRPr="002A1FD6">
                    <w:t>Other</w:t>
                  </w:r>
                </w:p>
              </w:tc>
              <w:tc>
                <w:tcPr>
                  <w:tcW w:w="2160" w:type="dxa"/>
                  <w:noWrap/>
                  <w:vAlign w:val="center"/>
                  <w:hideMark/>
                </w:tcPr>
                <w:p w:rsidR="00C729E4" w:rsidRPr="002A1FD6" w:rsidRDefault="00C729E4" w:rsidP="005A01A6">
                  <w:pPr>
                    <w:spacing w:after="0"/>
                    <w:ind w:left="576" w:right="543"/>
                    <w:jc w:val="right"/>
                  </w:pPr>
                  <w:r w:rsidRPr="002A1FD6">
                    <w:t>1.1%</w:t>
                  </w:r>
                </w:p>
              </w:tc>
            </w:tr>
            <w:tr w:rsidR="00C729E4" w:rsidRPr="002A1FD6" w:rsidTr="006F3EAB">
              <w:trPr>
                <w:trHeight w:val="255"/>
              </w:trPr>
              <w:tc>
                <w:tcPr>
                  <w:tcW w:w="4428" w:type="dxa"/>
                  <w:noWrap/>
                  <w:hideMark/>
                </w:tcPr>
                <w:p w:rsidR="00C729E4" w:rsidRPr="002A1FD6" w:rsidRDefault="00C729E4" w:rsidP="006F3EAB">
                  <w:pPr>
                    <w:spacing w:after="0" w:line="480" w:lineRule="auto"/>
                  </w:pPr>
                  <w:r>
                    <w:t>Patients by Hispanic ethnicity (%)</w:t>
                  </w:r>
                </w:p>
              </w:tc>
              <w:tc>
                <w:tcPr>
                  <w:tcW w:w="2160" w:type="dxa"/>
                  <w:noWrap/>
                  <w:vAlign w:val="center"/>
                  <w:hideMark/>
                </w:tcPr>
                <w:p w:rsidR="00C729E4" w:rsidRPr="002A1FD6" w:rsidRDefault="00C729E4" w:rsidP="005A01A6">
                  <w:pPr>
                    <w:spacing w:after="0"/>
                    <w:ind w:left="576" w:right="543"/>
                    <w:jc w:val="right"/>
                  </w:pPr>
                </w:p>
              </w:tc>
            </w:tr>
            <w:tr w:rsidR="00C729E4" w:rsidRPr="002A1FD6" w:rsidTr="006F3EAB">
              <w:trPr>
                <w:trHeight w:val="255"/>
              </w:trPr>
              <w:tc>
                <w:tcPr>
                  <w:tcW w:w="4428" w:type="dxa"/>
                  <w:noWrap/>
                </w:tcPr>
                <w:p w:rsidR="00671872" w:rsidRDefault="00C729E4" w:rsidP="004C5994">
                  <w:pPr>
                    <w:spacing w:after="0" w:line="480" w:lineRule="auto"/>
                    <w:ind w:left="576"/>
                    <w:rPr>
                      <w:rFonts w:cstheme="majorBidi"/>
                      <w:b/>
                      <w:bCs/>
                      <w:i/>
                      <w:iCs/>
                      <w:color w:val="243F60" w:themeColor="accent1" w:themeShade="7F"/>
                    </w:rPr>
                  </w:pPr>
                  <w:r>
                    <w:t>Hispanic</w:t>
                  </w:r>
                </w:p>
              </w:tc>
              <w:tc>
                <w:tcPr>
                  <w:tcW w:w="2160" w:type="dxa"/>
                  <w:noWrap/>
                  <w:vAlign w:val="center"/>
                </w:tcPr>
                <w:p w:rsidR="00C729E4" w:rsidRPr="002A1FD6" w:rsidRDefault="00C729E4" w:rsidP="005A01A6">
                  <w:pPr>
                    <w:spacing w:after="0"/>
                    <w:ind w:left="576" w:right="543"/>
                    <w:jc w:val="right"/>
                  </w:pPr>
                  <w:r w:rsidRPr="00907741">
                    <w:t>15.2</w:t>
                  </w:r>
                  <w:r>
                    <w:t>%</w:t>
                  </w:r>
                </w:p>
              </w:tc>
            </w:tr>
            <w:tr w:rsidR="00C729E4" w:rsidRPr="002A1FD6" w:rsidTr="006F3EAB">
              <w:trPr>
                <w:trHeight w:val="255"/>
              </w:trPr>
              <w:tc>
                <w:tcPr>
                  <w:tcW w:w="4428" w:type="dxa"/>
                  <w:noWrap/>
                </w:tcPr>
                <w:p w:rsidR="00C729E4" w:rsidRPr="002A1FD6" w:rsidRDefault="00C729E4" w:rsidP="006F3EAB">
                  <w:pPr>
                    <w:spacing w:after="0" w:line="480" w:lineRule="auto"/>
                    <w:ind w:left="576"/>
                  </w:pPr>
                  <w:r>
                    <w:t>Non-Hispanic</w:t>
                  </w:r>
                </w:p>
              </w:tc>
              <w:tc>
                <w:tcPr>
                  <w:tcW w:w="2160" w:type="dxa"/>
                  <w:noWrap/>
                  <w:vAlign w:val="center"/>
                </w:tcPr>
                <w:p w:rsidR="00C729E4" w:rsidRPr="002A1FD6" w:rsidRDefault="00C729E4" w:rsidP="005A01A6">
                  <w:pPr>
                    <w:spacing w:after="0"/>
                    <w:ind w:left="576" w:right="543"/>
                    <w:jc w:val="right"/>
                  </w:pPr>
                  <w:r w:rsidRPr="00907741">
                    <w:t>83.2</w:t>
                  </w:r>
                  <w:r>
                    <w:t>%</w:t>
                  </w:r>
                </w:p>
              </w:tc>
            </w:tr>
            <w:tr w:rsidR="00C729E4" w:rsidRPr="002A1FD6" w:rsidTr="006F3EAB">
              <w:trPr>
                <w:trHeight w:val="255"/>
              </w:trPr>
              <w:tc>
                <w:tcPr>
                  <w:tcW w:w="4428" w:type="dxa"/>
                  <w:noWrap/>
                  <w:hideMark/>
                </w:tcPr>
                <w:p w:rsidR="00C729E4" w:rsidRPr="002A1FD6" w:rsidRDefault="00C729E4" w:rsidP="006F3EAB">
                  <w:pPr>
                    <w:spacing w:after="0" w:line="480" w:lineRule="auto"/>
                    <w:ind w:left="576"/>
                  </w:pPr>
                  <w:r>
                    <w:t>Unknown</w:t>
                  </w:r>
                </w:p>
              </w:tc>
              <w:tc>
                <w:tcPr>
                  <w:tcW w:w="2160" w:type="dxa"/>
                  <w:noWrap/>
                  <w:vAlign w:val="center"/>
                  <w:hideMark/>
                </w:tcPr>
                <w:p w:rsidR="00C729E4" w:rsidRPr="002A1FD6" w:rsidRDefault="00C729E4" w:rsidP="005A01A6">
                  <w:pPr>
                    <w:spacing w:after="0"/>
                    <w:ind w:left="576" w:right="543"/>
                    <w:jc w:val="right"/>
                  </w:pPr>
                  <w:r w:rsidRPr="00907741">
                    <w:t>1.6</w:t>
                  </w:r>
                  <w:r>
                    <w:t>%</w:t>
                  </w:r>
                </w:p>
              </w:tc>
            </w:tr>
            <w:tr w:rsidR="00DE5A37" w:rsidRPr="002A1FD6" w:rsidTr="006F3EAB">
              <w:trPr>
                <w:trHeight w:val="255"/>
              </w:trPr>
              <w:tc>
                <w:tcPr>
                  <w:tcW w:w="4428" w:type="dxa"/>
                  <w:noWrap/>
                </w:tcPr>
                <w:p w:rsidR="00DE5A37" w:rsidRPr="002A1FD6" w:rsidRDefault="00DE5A37" w:rsidP="00DE5A37">
                  <w:pPr>
                    <w:spacing w:after="0" w:line="480" w:lineRule="auto"/>
                  </w:pPr>
                  <w:r>
                    <w:t>Average incident comorbidity index</w:t>
                  </w:r>
                </w:p>
              </w:tc>
              <w:tc>
                <w:tcPr>
                  <w:tcW w:w="2160" w:type="dxa"/>
                  <w:noWrap/>
                  <w:vAlign w:val="center"/>
                </w:tcPr>
                <w:p w:rsidR="00DE5A37" w:rsidRPr="002A1FD6" w:rsidRDefault="00DE5A37" w:rsidP="005A01A6">
                  <w:pPr>
                    <w:spacing w:after="0"/>
                    <w:ind w:left="576" w:right="543"/>
                    <w:jc w:val="right"/>
                  </w:pPr>
                  <w:r>
                    <w:t>0.23</w:t>
                  </w:r>
                </w:p>
              </w:tc>
            </w:tr>
            <w:tr w:rsidR="00C729E4" w:rsidRPr="002A1FD6" w:rsidTr="006F3EAB">
              <w:trPr>
                <w:trHeight w:val="255"/>
              </w:trPr>
              <w:tc>
                <w:tcPr>
                  <w:tcW w:w="4428" w:type="dxa"/>
                  <w:noWrap/>
                  <w:hideMark/>
                </w:tcPr>
                <w:p w:rsidR="00671872" w:rsidRDefault="00C729E4" w:rsidP="004C5994">
                  <w:pPr>
                    <w:spacing w:after="0" w:line="480" w:lineRule="auto"/>
                    <w:rPr>
                      <w:rFonts w:cstheme="majorBidi"/>
                      <w:b/>
                      <w:bCs/>
                      <w:i/>
                      <w:iCs/>
                      <w:color w:val="243F60" w:themeColor="accent1" w:themeShade="7F"/>
                    </w:rPr>
                  </w:pPr>
                  <w:r w:rsidRPr="002A1FD6">
                    <w:t xml:space="preserve">Diabetes as </w:t>
                  </w:r>
                  <w:r>
                    <w:t>c</w:t>
                  </w:r>
                  <w:r w:rsidRPr="002A1FD6">
                    <w:t>ause of ESRD (%)</w:t>
                  </w:r>
                </w:p>
              </w:tc>
              <w:tc>
                <w:tcPr>
                  <w:tcW w:w="2160" w:type="dxa"/>
                  <w:noWrap/>
                  <w:vAlign w:val="center"/>
                  <w:hideMark/>
                </w:tcPr>
                <w:p w:rsidR="00C729E4" w:rsidRPr="002A1FD6" w:rsidRDefault="00C729E4" w:rsidP="005A01A6">
                  <w:pPr>
                    <w:spacing w:after="0"/>
                    <w:ind w:left="576" w:right="543"/>
                    <w:jc w:val="right"/>
                  </w:pPr>
                  <w:r w:rsidRPr="002A1FD6">
                    <w:t>44.1%</w:t>
                  </w:r>
                </w:p>
              </w:tc>
            </w:tr>
            <w:tr w:rsidR="00C729E4" w:rsidRPr="002A1FD6" w:rsidTr="006F3EAB">
              <w:trPr>
                <w:trHeight w:val="255"/>
              </w:trPr>
              <w:tc>
                <w:tcPr>
                  <w:tcW w:w="4428" w:type="dxa"/>
                  <w:noWrap/>
                  <w:hideMark/>
                </w:tcPr>
                <w:p w:rsidR="00671872" w:rsidRDefault="00C729E4" w:rsidP="00F344FF">
                  <w:pPr>
                    <w:spacing w:after="0" w:line="480" w:lineRule="auto"/>
                    <w:rPr>
                      <w:rFonts w:cstheme="majorBidi"/>
                      <w:b/>
                      <w:bCs/>
                      <w:i/>
                      <w:iCs/>
                      <w:color w:val="243F60" w:themeColor="accent1" w:themeShade="7F"/>
                    </w:rPr>
                  </w:pPr>
                  <w:r w:rsidRPr="002A1FD6">
                    <w:t xml:space="preserve">Patients by </w:t>
                  </w:r>
                  <w:r w:rsidR="00F344FF">
                    <w:t>duration</w:t>
                  </w:r>
                  <w:r w:rsidR="00F344FF" w:rsidRPr="002A1FD6">
                    <w:t xml:space="preserve"> </w:t>
                  </w:r>
                  <w:r w:rsidR="00F344FF">
                    <w:t>of</w:t>
                  </w:r>
                  <w:r w:rsidR="00F344FF" w:rsidRPr="002A1FD6">
                    <w:t xml:space="preserve"> </w:t>
                  </w:r>
                  <w:r w:rsidR="00556B3D">
                    <w:t>ESRD</w:t>
                  </w:r>
                  <w:r w:rsidR="00556B3D" w:rsidRPr="002A1FD6">
                    <w:t xml:space="preserve"> </w:t>
                  </w:r>
                  <w:r w:rsidRPr="002A1FD6">
                    <w:t>(%)</w:t>
                  </w:r>
                </w:p>
              </w:tc>
              <w:tc>
                <w:tcPr>
                  <w:tcW w:w="2160" w:type="dxa"/>
                  <w:noWrap/>
                  <w:vAlign w:val="center"/>
                  <w:hideMark/>
                </w:tcPr>
                <w:p w:rsidR="00C729E4" w:rsidRPr="002A1FD6" w:rsidRDefault="00C729E4" w:rsidP="005A01A6">
                  <w:pPr>
                    <w:spacing w:after="0"/>
                    <w:ind w:left="576" w:right="543"/>
                    <w:jc w:val="right"/>
                  </w:pPr>
                </w:p>
              </w:tc>
            </w:tr>
            <w:tr w:rsidR="00C729E4" w:rsidRPr="002A1FD6" w:rsidTr="006F3EAB">
              <w:trPr>
                <w:trHeight w:val="255"/>
              </w:trPr>
              <w:tc>
                <w:tcPr>
                  <w:tcW w:w="4428" w:type="dxa"/>
                  <w:noWrap/>
                  <w:hideMark/>
                </w:tcPr>
                <w:p w:rsidR="00671872" w:rsidRDefault="00C729E4" w:rsidP="004C5994">
                  <w:pPr>
                    <w:spacing w:after="0" w:line="480" w:lineRule="auto"/>
                    <w:ind w:left="576"/>
                    <w:rPr>
                      <w:rFonts w:cstheme="majorBidi"/>
                      <w:b/>
                      <w:bCs/>
                      <w:i/>
                      <w:iCs/>
                      <w:color w:val="243F60" w:themeColor="accent1" w:themeShade="7F"/>
                    </w:rPr>
                  </w:pPr>
                  <w:r w:rsidRPr="002A1FD6">
                    <w:t>&lt; 1 year</w:t>
                  </w:r>
                </w:p>
              </w:tc>
              <w:tc>
                <w:tcPr>
                  <w:tcW w:w="2160" w:type="dxa"/>
                  <w:noWrap/>
                  <w:vAlign w:val="center"/>
                  <w:hideMark/>
                </w:tcPr>
                <w:p w:rsidR="00C729E4" w:rsidRPr="002A1FD6" w:rsidRDefault="00C729E4" w:rsidP="005A01A6">
                  <w:pPr>
                    <w:spacing w:after="0"/>
                    <w:ind w:left="576" w:right="543"/>
                    <w:jc w:val="right"/>
                  </w:pPr>
                  <w:r w:rsidRPr="002A1FD6">
                    <w:t>34.0%</w:t>
                  </w:r>
                </w:p>
              </w:tc>
            </w:tr>
            <w:tr w:rsidR="00C729E4" w:rsidRPr="002A1FD6" w:rsidTr="006F3EAB">
              <w:trPr>
                <w:trHeight w:val="255"/>
              </w:trPr>
              <w:tc>
                <w:tcPr>
                  <w:tcW w:w="4428" w:type="dxa"/>
                  <w:tcBorders>
                    <w:bottom w:val="single" w:sz="4" w:space="0" w:color="auto"/>
                  </w:tcBorders>
                  <w:noWrap/>
                  <w:hideMark/>
                </w:tcPr>
                <w:p w:rsidR="00671872" w:rsidRDefault="00C729E4" w:rsidP="004C5994">
                  <w:pPr>
                    <w:spacing w:after="0" w:line="480" w:lineRule="auto"/>
                    <w:ind w:left="576"/>
                    <w:rPr>
                      <w:rFonts w:cstheme="majorBidi"/>
                      <w:b/>
                      <w:bCs/>
                      <w:i/>
                      <w:iCs/>
                      <w:color w:val="243F60" w:themeColor="accent1" w:themeShade="7F"/>
                    </w:rPr>
                  </w:pPr>
                  <w:r w:rsidRPr="002A1FD6">
                    <w:t>1-2 years</w:t>
                  </w:r>
                </w:p>
              </w:tc>
              <w:tc>
                <w:tcPr>
                  <w:tcW w:w="2160" w:type="dxa"/>
                  <w:tcBorders>
                    <w:bottom w:val="single" w:sz="4" w:space="0" w:color="auto"/>
                  </w:tcBorders>
                  <w:noWrap/>
                  <w:vAlign w:val="center"/>
                  <w:hideMark/>
                </w:tcPr>
                <w:p w:rsidR="00C729E4" w:rsidRPr="002A1FD6" w:rsidRDefault="00C729E4" w:rsidP="00EB6E1C">
                  <w:pPr>
                    <w:spacing w:after="120"/>
                    <w:ind w:left="576" w:right="547"/>
                    <w:jc w:val="right"/>
                  </w:pPr>
                  <w:r w:rsidRPr="002A1FD6">
                    <w:t>14.9%</w:t>
                  </w:r>
                </w:p>
              </w:tc>
            </w:tr>
          </w:tbl>
          <w:p w:rsidR="00EE5622" w:rsidRPr="00F73BE5" w:rsidRDefault="00EE5622">
            <w:pPr>
              <w:spacing w:after="0" w:line="480" w:lineRule="auto"/>
              <w:rPr>
                <w:rFonts w:eastAsia="Times New Roman"/>
                <w:b/>
              </w:rPr>
            </w:pPr>
            <w:r w:rsidRPr="001C3C33">
              <w:rPr>
                <w:b/>
              </w:rPr>
              <w:t xml:space="preserve">Table </w:t>
            </w:r>
            <w:r w:rsidR="000E4B75">
              <w:rPr>
                <w:b/>
              </w:rPr>
              <w:t>2</w:t>
            </w:r>
            <w:r>
              <w:t>. Average facility characteristics</w:t>
            </w:r>
            <w:r w:rsidR="00505DFD">
              <w:t xml:space="preserve"> for the 10% of facilities in 2010 with the highest percentage of black patients and for the remaining 90%</w:t>
            </w:r>
          </w:p>
        </w:tc>
      </w:tr>
      <w:tr w:rsidR="006B07DE" w:rsidRPr="00E211EA" w:rsidTr="004C5994">
        <w:trPr>
          <w:trHeight w:val="255"/>
        </w:trPr>
        <w:tc>
          <w:tcPr>
            <w:tcW w:w="3705" w:type="dxa"/>
            <w:tcBorders>
              <w:top w:val="single" w:sz="4" w:space="0" w:color="auto"/>
              <w:left w:val="nil"/>
              <w:bottom w:val="single" w:sz="4" w:space="0" w:color="auto"/>
              <w:right w:val="nil"/>
            </w:tcBorders>
            <w:shd w:val="clear" w:color="auto" w:fill="auto"/>
            <w:noWrap/>
            <w:vAlign w:val="bottom"/>
            <w:hideMark/>
          </w:tcPr>
          <w:p w:rsidR="006B07DE" w:rsidRPr="00E211EA" w:rsidRDefault="006B07DE" w:rsidP="007556CC">
            <w:pPr>
              <w:spacing w:before="120" w:after="120" w:line="240" w:lineRule="auto"/>
              <w:rPr>
                <w:rFonts w:eastAsia="Times New Roman"/>
                <w:b/>
              </w:rPr>
            </w:pPr>
            <w:r w:rsidRPr="00B5327F">
              <w:rPr>
                <w:rFonts w:eastAsia="Times New Roman"/>
                <w:b/>
              </w:rPr>
              <w:t>Characteristic</w:t>
            </w:r>
          </w:p>
        </w:tc>
        <w:tc>
          <w:tcPr>
            <w:tcW w:w="2610" w:type="dxa"/>
            <w:tcBorders>
              <w:top w:val="single" w:sz="4" w:space="0" w:color="auto"/>
              <w:left w:val="nil"/>
              <w:bottom w:val="single" w:sz="4" w:space="0" w:color="auto"/>
              <w:right w:val="nil"/>
            </w:tcBorders>
            <w:shd w:val="clear" w:color="auto" w:fill="auto"/>
            <w:noWrap/>
            <w:vAlign w:val="bottom"/>
            <w:hideMark/>
          </w:tcPr>
          <w:p w:rsidR="006B07DE" w:rsidRPr="00F8026E" w:rsidRDefault="00C75315" w:rsidP="00F70714">
            <w:pPr>
              <w:spacing w:before="120" w:after="120" w:line="240" w:lineRule="auto"/>
              <w:jc w:val="center"/>
              <w:rPr>
                <w:rFonts w:eastAsia="Times New Roman"/>
                <w:b/>
              </w:rPr>
            </w:pPr>
            <w:r w:rsidRPr="00F8026E">
              <w:rPr>
                <w:rFonts w:eastAsia="Times New Roman"/>
                <w:b/>
              </w:rPr>
              <w:t>L</w:t>
            </w:r>
            <w:r w:rsidR="00505DFD" w:rsidRPr="00F8026E">
              <w:rPr>
                <w:rFonts w:eastAsia="Times New Roman"/>
                <w:b/>
              </w:rPr>
              <w:t>owest 90% of percentages</w:t>
            </w:r>
            <w:r w:rsidR="000F6A7F" w:rsidRPr="00F8026E">
              <w:rPr>
                <w:rFonts w:eastAsia="Times New Roman"/>
                <w:b/>
              </w:rPr>
              <w:br/>
            </w:r>
            <w:r w:rsidR="000F6A7F" w:rsidRPr="00F8026E">
              <w:t>(N= 5,</w:t>
            </w:r>
            <w:r w:rsidR="00F70714" w:rsidRPr="00712159">
              <w:t>328</w:t>
            </w:r>
            <w:r w:rsidR="000F6A7F" w:rsidRPr="00712159">
              <w:t>)</w:t>
            </w:r>
          </w:p>
        </w:tc>
        <w:tc>
          <w:tcPr>
            <w:tcW w:w="1800" w:type="dxa"/>
            <w:tcBorders>
              <w:top w:val="single" w:sz="4" w:space="0" w:color="auto"/>
              <w:left w:val="nil"/>
              <w:bottom w:val="single" w:sz="4" w:space="0" w:color="auto"/>
              <w:right w:val="nil"/>
            </w:tcBorders>
            <w:shd w:val="clear" w:color="auto" w:fill="auto"/>
            <w:noWrap/>
            <w:vAlign w:val="bottom"/>
            <w:hideMark/>
          </w:tcPr>
          <w:p w:rsidR="006B07DE" w:rsidRPr="00F8026E" w:rsidRDefault="00C75315" w:rsidP="00F70714">
            <w:pPr>
              <w:spacing w:before="120" w:after="120" w:line="240" w:lineRule="auto"/>
              <w:jc w:val="center"/>
              <w:rPr>
                <w:rFonts w:eastAsia="Times New Roman"/>
                <w:b/>
              </w:rPr>
            </w:pPr>
            <w:r w:rsidRPr="00F8026E">
              <w:rPr>
                <w:rFonts w:eastAsia="Times New Roman"/>
                <w:b/>
              </w:rPr>
              <w:t>H</w:t>
            </w:r>
            <w:r w:rsidR="006B07DE" w:rsidRPr="00F8026E">
              <w:rPr>
                <w:rFonts w:eastAsia="Times New Roman"/>
                <w:b/>
              </w:rPr>
              <w:t xml:space="preserve">ighest </w:t>
            </w:r>
            <w:r w:rsidR="00505DFD" w:rsidRPr="00F8026E">
              <w:rPr>
                <w:rFonts w:eastAsia="Times New Roman"/>
                <w:b/>
              </w:rPr>
              <w:t xml:space="preserve">10% of </w:t>
            </w:r>
            <w:r w:rsidR="006B07DE" w:rsidRPr="00F8026E">
              <w:rPr>
                <w:rFonts w:eastAsia="Times New Roman"/>
                <w:b/>
              </w:rPr>
              <w:t>percentage</w:t>
            </w:r>
            <w:r w:rsidR="00505DFD" w:rsidRPr="00F8026E">
              <w:rPr>
                <w:rFonts w:eastAsia="Times New Roman"/>
                <w:b/>
              </w:rPr>
              <w:t>s</w:t>
            </w:r>
            <w:r w:rsidR="006B07DE" w:rsidRPr="00F8026E">
              <w:rPr>
                <w:rFonts w:eastAsia="Times New Roman"/>
                <w:b/>
              </w:rPr>
              <w:t xml:space="preserve"> </w:t>
            </w:r>
            <w:r w:rsidR="000F6A7F" w:rsidRPr="00F8026E">
              <w:rPr>
                <w:rFonts w:eastAsia="Times New Roman"/>
                <w:b/>
              </w:rPr>
              <w:br/>
            </w:r>
            <w:r w:rsidR="000F6A7F" w:rsidRPr="00F8026E">
              <w:t>(N= 5</w:t>
            </w:r>
            <w:r w:rsidR="000F6A7F" w:rsidRPr="00712159">
              <w:t>92)</w:t>
            </w:r>
          </w:p>
        </w:tc>
        <w:tc>
          <w:tcPr>
            <w:tcW w:w="1710" w:type="dxa"/>
            <w:tcBorders>
              <w:top w:val="single" w:sz="4" w:space="0" w:color="auto"/>
              <w:left w:val="nil"/>
              <w:bottom w:val="single" w:sz="4" w:space="0" w:color="auto"/>
              <w:right w:val="nil"/>
            </w:tcBorders>
            <w:shd w:val="clear" w:color="auto" w:fill="auto"/>
            <w:noWrap/>
            <w:vAlign w:val="bottom"/>
            <w:hideMark/>
          </w:tcPr>
          <w:p w:rsidR="006B07DE" w:rsidRPr="00E211EA" w:rsidRDefault="006B07DE" w:rsidP="00D81F42">
            <w:pPr>
              <w:spacing w:before="120" w:after="120" w:line="240" w:lineRule="auto"/>
              <w:jc w:val="center"/>
              <w:rPr>
                <w:rFonts w:eastAsia="Times New Roman"/>
                <w:b/>
              </w:rPr>
            </w:pPr>
            <w:r w:rsidRPr="00F73BE5">
              <w:rPr>
                <w:rFonts w:eastAsia="Times New Roman"/>
                <w:b/>
              </w:rPr>
              <w:t>P-</w:t>
            </w:r>
            <w:r w:rsidR="00D81F42" w:rsidRPr="00F73BE5">
              <w:rPr>
                <w:rFonts w:eastAsia="Times New Roman"/>
                <w:b/>
              </w:rPr>
              <w:t>value</w:t>
            </w:r>
            <w:r w:rsidR="00D81F42">
              <w:rPr>
                <w:rFonts w:eastAsia="Times New Roman"/>
                <w:b/>
                <w:vertAlign w:val="superscript"/>
              </w:rPr>
              <w:t>a</w:t>
            </w:r>
          </w:p>
        </w:tc>
      </w:tr>
      <w:tr w:rsidR="006B07DE" w:rsidRPr="00E211EA" w:rsidTr="004C5994">
        <w:trPr>
          <w:trHeight w:val="255"/>
        </w:trPr>
        <w:tc>
          <w:tcPr>
            <w:tcW w:w="3705" w:type="dxa"/>
            <w:tcBorders>
              <w:top w:val="single" w:sz="4" w:space="0" w:color="auto"/>
              <w:left w:val="nil"/>
              <w:bottom w:val="nil"/>
              <w:right w:val="nil"/>
            </w:tcBorders>
            <w:shd w:val="clear" w:color="auto" w:fill="auto"/>
            <w:noWrap/>
            <w:vAlign w:val="bottom"/>
            <w:hideMark/>
          </w:tcPr>
          <w:p w:rsidR="006B07DE" w:rsidRPr="00E211EA" w:rsidRDefault="00613E7C" w:rsidP="00FD560A">
            <w:pPr>
              <w:spacing w:after="0" w:line="480" w:lineRule="auto"/>
              <w:rPr>
                <w:rFonts w:eastAsia="Times New Roman"/>
              </w:rPr>
            </w:pPr>
            <w:r>
              <w:rPr>
                <w:rFonts w:eastAsia="Times New Roman"/>
              </w:rPr>
              <w:t>Average</w:t>
            </w:r>
            <w:r w:rsidR="006B07DE">
              <w:rPr>
                <w:rFonts w:eastAsia="Times New Roman"/>
              </w:rPr>
              <w:t xml:space="preserve"> a</w:t>
            </w:r>
            <w:r w:rsidR="006B07DE" w:rsidRPr="00E211EA">
              <w:rPr>
                <w:rFonts w:eastAsia="Times New Roman"/>
              </w:rPr>
              <w:t>ge</w:t>
            </w:r>
          </w:p>
        </w:tc>
        <w:tc>
          <w:tcPr>
            <w:tcW w:w="2610" w:type="dxa"/>
            <w:tcBorders>
              <w:top w:val="single" w:sz="4" w:space="0" w:color="auto"/>
              <w:left w:val="nil"/>
              <w:bottom w:val="nil"/>
              <w:right w:val="nil"/>
            </w:tcBorders>
            <w:shd w:val="clear" w:color="auto" w:fill="auto"/>
            <w:noWrap/>
            <w:vAlign w:val="bottom"/>
            <w:hideMark/>
          </w:tcPr>
          <w:p w:rsidR="006B07DE" w:rsidRPr="00E211EA" w:rsidRDefault="006B07DE" w:rsidP="00FD560A">
            <w:pPr>
              <w:spacing w:after="0" w:line="480" w:lineRule="auto"/>
              <w:jc w:val="center"/>
              <w:rPr>
                <w:rFonts w:eastAsia="Times New Roman"/>
              </w:rPr>
            </w:pPr>
            <w:r w:rsidRPr="00E211EA">
              <w:rPr>
                <w:rFonts w:eastAsia="Times New Roman"/>
              </w:rPr>
              <w:t>61.2</w:t>
            </w:r>
          </w:p>
        </w:tc>
        <w:tc>
          <w:tcPr>
            <w:tcW w:w="1800" w:type="dxa"/>
            <w:tcBorders>
              <w:top w:val="single" w:sz="4" w:space="0" w:color="auto"/>
              <w:left w:val="nil"/>
              <w:bottom w:val="nil"/>
              <w:right w:val="nil"/>
            </w:tcBorders>
            <w:shd w:val="clear" w:color="auto" w:fill="auto"/>
            <w:noWrap/>
            <w:vAlign w:val="bottom"/>
            <w:hideMark/>
          </w:tcPr>
          <w:p w:rsidR="006B07DE" w:rsidRPr="00E211EA" w:rsidRDefault="006B07DE" w:rsidP="0000778D">
            <w:pPr>
              <w:spacing w:after="0" w:line="480" w:lineRule="auto"/>
              <w:ind w:right="522"/>
              <w:jc w:val="center"/>
              <w:rPr>
                <w:rFonts w:eastAsia="Times New Roman"/>
              </w:rPr>
            </w:pPr>
            <w:r w:rsidRPr="00E211EA">
              <w:rPr>
                <w:rFonts w:eastAsia="Times New Roman"/>
              </w:rPr>
              <w:t>58.0</w:t>
            </w:r>
          </w:p>
        </w:tc>
        <w:tc>
          <w:tcPr>
            <w:tcW w:w="1710" w:type="dxa"/>
            <w:tcBorders>
              <w:top w:val="single" w:sz="4" w:space="0" w:color="auto"/>
              <w:left w:val="nil"/>
              <w:bottom w:val="nil"/>
              <w:right w:val="nil"/>
            </w:tcBorders>
            <w:shd w:val="clear" w:color="auto" w:fill="auto"/>
            <w:noWrap/>
            <w:vAlign w:val="bottom"/>
            <w:hideMark/>
          </w:tcPr>
          <w:p w:rsidR="006B07DE" w:rsidRPr="00E211EA" w:rsidRDefault="006B07DE" w:rsidP="00FD560A">
            <w:pPr>
              <w:spacing w:after="0" w:line="480" w:lineRule="auto"/>
              <w:jc w:val="center"/>
              <w:rPr>
                <w:rFonts w:eastAsia="Times New Roman"/>
              </w:rPr>
            </w:pPr>
            <w:r w:rsidRPr="00E211EA">
              <w:rPr>
                <w:rFonts w:eastAsia="Times New Roman"/>
              </w:rPr>
              <w:t>&lt;</w:t>
            </w:r>
            <w:r>
              <w:rPr>
                <w:rFonts w:eastAsia="Times New Roman"/>
              </w:rPr>
              <w:t>0</w:t>
            </w:r>
            <w:r w:rsidRPr="00E211EA">
              <w:rPr>
                <w:rFonts w:eastAsia="Times New Roman"/>
              </w:rPr>
              <w:t>.0001</w:t>
            </w:r>
          </w:p>
        </w:tc>
      </w:tr>
      <w:tr w:rsidR="006B07DE" w:rsidRPr="00E211EA" w:rsidTr="004C5994">
        <w:trPr>
          <w:trHeight w:val="255"/>
        </w:trPr>
        <w:tc>
          <w:tcPr>
            <w:tcW w:w="3705" w:type="dxa"/>
            <w:tcBorders>
              <w:top w:val="nil"/>
              <w:left w:val="nil"/>
              <w:bottom w:val="nil"/>
              <w:right w:val="nil"/>
            </w:tcBorders>
            <w:shd w:val="clear" w:color="auto" w:fill="auto"/>
            <w:noWrap/>
            <w:vAlign w:val="bottom"/>
            <w:hideMark/>
          </w:tcPr>
          <w:p w:rsidR="006B07DE" w:rsidRPr="00E211EA" w:rsidRDefault="00613E7C" w:rsidP="00FD560A">
            <w:pPr>
              <w:spacing w:after="0" w:line="480" w:lineRule="auto"/>
              <w:rPr>
                <w:rFonts w:eastAsia="Times New Roman"/>
              </w:rPr>
            </w:pPr>
            <w:r>
              <w:rPr>
                <w:rFonts w:eastAsia="Times New Roman"/>
              </w:rPr>
              <w:t>Average</w:t>
            </w:r>
            <w:r w:rsidR="006B07DE">
              <w:rPr>
                <w:rFonts w:eastAsia="Times New Roman"/>
              </w:rPr>
              <w:t xml:space="preserve"> incident comorbidity index</w:t>
            </w:r>
          </w:p>
        </w:tc>
        <w:tc>
          <w:tcPr>
            <w:tcW w:w="2610" w:type="dxa"/>
            <w:tcBorders>
              <w:top w:val="nil"/>
              <w:left w:val="nil"/>
              <w:bottom w:val="nil"/>
              <w:right w:val="nil"/>
            </w:tcBorders>
            <w:shd w:val="clear" w:color="auto" w:fill="auto"/>
            <w:noWrap/>
            <w:vAlign w:val="bottom"/>
            <w:hideMark/>
          </w:tcPr>
          <w:p w:rsidR="006B07DE" w:rsidRPr="00E211EA" w:rsidRDefault="006B07DE" w:rsidP="00FD560A">
            <w:pPr>
              <w:spacing w:after="0" w:line="480" w:lineRule="auto"/>
              <w:jc w:val="center"/>
              <w:rPr>
                <w:rFonts w:eastAsia="Times New Roman"/>
              </w:rPr>
            </w:pPr>
            <w:r w:rsidRPr="00E211EA">
              <w:rPr>
                <w:rFonts w:eastAsia="Times New Roman"/>
              </w:rPr>
              <w:t>0.24</w:t>
            </w:r>
          </w:p>
        </w:tc>
        <w:tc>
          <w:tcPr>
            <w:tcW w:w="1800" w:type="dxa"/>
            <w:tcBorders>
              <w:top w:val="nil"/>
              <w:left w:val="nil"/>
              <w:bottom w:val="nil"/>
              <w:right w:val="nil"/>
            </w:tcBorders>
            <w:shd w:val="clear" w:color="auto" w:fill="auto"/>
            <w:noWrap/>
            <w:vAlign w:val="bottom"/>
            <w:hideMark/>
          </w:tcPr>
          <w:p w:rsidR="006B07DE" w:rsidRPr="00E211EA" w:rsidRDefault="006B07DE" w:rsidP="0000778D">
            <w:pPr>
              <w:spacing w:after="0" w:line="480" w:lineRule="auto"/>
              <w:ind w:right="522"/>
              <w:jc w:val="center"/>
              <w:rPr>
                <w:rFonts w:eastAsia="Times New Roman"/>
              </w:rPr>
            </w:pPr>
            <w:r w:rsidRPr="00E211EA">
              <w:rPr>
                <w:rFonts w:eastAsia="Times New Roman"/>
              </w:rPr>
              <w:t>0.21</w:t>
            </w:r>
          </w:p>
        </w:tc>
        <w:tc>
          <w:tcPr>
            <w:tcW w:w="1710" w:type="dxa"/>
            <w:tcBorders>
              <w:top w:val="nil"/>
              <w:left w:val="nil"/>
              <w:bottom w:val="nil"/>
              <w:right w:val="nil"/>
            </w:tcBorders>
            <w:shd w:val="clear" w:color="auto" w:fill="auto"/>
            <w:noWrap/>
            <w:vAlign w:val="bottom"/>
            <w:hideMark/>
          </w:tcPr>
          <w:p w:rsidR="006B07DE" w:rsidRPr="00E211EA" w:rsidRDefault="006B07DE" w:rsidP="00FD560A">
            <w:pPr>
              <w:spacing w:after="0" w:line="480" w:lineRule="auto"/>
              <w:jc w:val="center"/>
              <w:rPr>
                <w:rFonts w:eastAsia="Times New Roman"/>
              </w:rPr>
            </w:pPr>
            <w:r w:rsidRPr="00E211EA">
              <w:rPr>
                <w:rFonts w:eastAsia="Times New Roman"/>
              </w:rPr>
              <w:t>&lt;</w:t>
            </w:r>
            <w:r>
              <w:rPr>
                <w:rFonts w:eastAsia="Times New Roman"/>
              </w:rPr>
              <w:t>0</w:t>
            </w:r>
            <w:r w:rsidRPr="00E211EA">
              <w:rPr>
                <w:rFonts w:eastAsia="Times New Roman"/>
              </w:rPr>
              <w:t>.0001</w:t>
            </w:r>
          </w:p>
        </w:tc>
      </w:tr>
      <w:tr w:rsidR="0014498A" w:rsidRPr="00E211EA" w:rsidTr="004C5994">
        <w:trPr>
          <w:trHeight w:val="255"/>
        </w:trPr>
        <w:tc>
          <w:tcPr>
            <w:tcW w:w="3705" w:type="dxa"/>
            <w:tcBorders>
              <w:top w:val="nil"/>
              <w:left w:val="nil"/>
              <w:bottom w:val="nil"/>
              <w:right w:val="nil"/>
            </w:tcBorders>
            <w:shd w:val="clear" w:color="auto" w:fill="auto"/>
            <w:noWrap/>
            <w:vAlign w:val="bottom"/>
            <w:hideMark/>
          </w:tcPr>
          <w:p w:rsidR="0014498A" w:rsidRPr="00E211EA" w:rsidRDefault="0014498A" w:rsidP="00D81F42">
            <w:pPr>
              <w:spacing w:after="0" w:line="480" w:lineRule="auto"/>
              <w:rPr>
                <w:rFonts w:eastAsia="Times New Roman"/>
              </w:rPr>
            </w:pPr>
            <w:r>
              <w:rPr>
                <w:rFonts w:eastAsia="Times New Roman"/>
              </w:rPr>
              <w:t xml:space="preserve">Average </w:t>
            </w:r>
            <w:r w:rsidR="00D81F42" w:rsidRPr="00E211EA">
              <w:rPr>
                <w:rFonts w:eastAsia="Times New Roman"/>
              </w:rPr>
              <w:t>income</w:t>
            </w:r>
            <w:r w:rsidR="00D81F42">
              <w:rPr>
                <w:rFonts w:eastAsia="Times New Roman"/>
                <w:vertAlign w:val="superscript"/>
              </w:rPr>
              <w:t>b</w:t>
            </w:r>
          </w:p>
        </w:tc>
        <w:tc>
          <w:tcPr>
            <w:tcW w:w="2610" w:type="dxa"/>
            <w:tcBorders>
              <w:top w:val="nil"/>
              <w:left w:val="nil"/>
              <w:bottom w:val="nil"/>
              <w:right w:val="nil"/>
            </w:tcBorders>
            <w:shd w:val="clear" w:color="auto" w:fill="auto"/>
            <w:noWrap/>
            <w:hideMark/>
          </w:tcPr>
          <w:p w:rsidR="0014498A" w:rsidRPr="00E211EA" w:rsidRDefault="0014498A" w:rsidP="00FD560A">
            <w:pPr>
              <w:spacing w:after="0" w:line="480" w:lineRule="auto"/>
              <w:jc w:val="center"/>
              <w:rPr>
                <w:rFonts w:eastAsia="Times New Roman"/>
              </w:rPr>
            </w:pPr>
            <w:r>
              <w:t>$</w:t>
            </w:r>
            <w:r w:rsidRPr="00320F0D">
              <w:t>50</w:t>
            </w:r>
            <w:r w:rsidR="001B19A6">
              <w:t>K</w:t>
            </w:r>
          </w:p>
        </w:tc>
        <w:tc>
          <w:tcPr>
            <w:tcW w:w="1800" w:type="dxa"/>
            <w:tcBorders>
              <w:top w:val="nil"/>
              <w:left w:val="nil"/>
              <w:bottom w:val="nil"/>
              <w:right w:val="nil"/>
            </w:tcBorders>
            <w:shd w:val="clear" w:color="auto" w:fill="auto"/>
            <w:noWrap/>
            <w:hideMark/>
          </w:tcPr>
          <w:p w:rsidR="0014498A" w:rsidRPr="00E211EA" w:rsidRDefault="0014498A" w:rsidP="0000778D">
            <w:pPr>
              <w:spacing w:after="0" w:line="480" w:lineRule="auto"/>
              <w:ind w:right="522"/>
              <w:jc w:val="center"/>
              <w:rPr>
                <w:rFonts w:eastAsia="Times New Roman"/>
              </w:rPr>
            </w:pPr>
            <w:r>
              <w:t>$</w:t>
            </w:r>
            <w:r w:rsidRPr="00320F0D">
              <w:t>3</w:t>
            </w:r>
            <w:r w:rsidR="001B19A6">
              <w:t>9K</w:t>
            </w:r>
          </w:p>
        </w:tc>
        <w:tc>
          <w:tcPr>
            <w:tcW w:w="1710" w:type="dxa"/>
            <w:tcBorders>
              <w:top w:val="nil"/>
              <w:left w:val="nil"/>
              <w:bottom w:val="nil"/>
              <w:right w:val="nil"/>
            </w:tcBorders>
            <w:shd w:val="clear" w:color="auto" w:fill="auto"/>
            <w:noWrap/>
            <w:vAlign w:val="bottom"/>
            <w:hideMark/>
          </w:tcPr>
          <w:p w:rsidR="0014498A" w:rsidRPr="00E211EA" w:rsidRDefault="0014498A" w:rsidP="00FD560A">
            <w:pPr>
              <w:spacing w:after="0" w:line="480" w:lineRule="auto"/>
              <w:jc w:val="center"/>
              <w:rPr>
                <w:rFonts w:eastAsia="Times New Roman"/>
              </w:rPr>
            </w:pPr>
            <w:r w:rsidRPr="00E211EA">
              <w:rPr>
                <w:rFonts w:eastAsia="Times New Roman"/>
              </w:rPr>
              <w:t>&lt;</w:t>
            </w:r>
            <w:r>
              <w:rPr>
                <w:rFonts w:eastAsia="Times New Roman"/>
              </w:rPr>
              <w:t>0</w:t>
            </w:r>
            <w:r w:rsidRPr="00E211EA">
              <w:rPr>
                <w:rFonts w:eastAsia="Times New Roman"/>
              </w:rPr>
              <w:t>.0001</w:t>
            </w:r>
          </w:p>
        </w:tc>
      </w:tr>
      <w:tr w:rsidR="006B07DE" w:rsidRPr="00E211EA" w:rsidTr="004C5994">
        <w:trPr>
          <w:trHeight w:val="255"/>
        </w:trPr>
        <w:tc>
          <w:tcPr>
            <w:tcW w:w="3705" w:type="dxa"/>
            <w:tcBorders>
              <w:top w:val="nil"/>
              <w:left w:val="nil"/>
              <w:bottom w:val="nil"/>
              <w:right w:val="nil"/>
            </w:tcBorders>
            <w:shd w:val="clear" w:color="auto" w:fill="auto"/>
            <w:noWrap/>
            <w:vAlign w:val="bottom"/>
            <w:hideMark/>
          </w:tcPr>
          <w:p w:rsidR="006B07DE" w:rsidRPr="00E211EA" w:rsidRDefault="00405F6F" w:rsidP="00405F6F">
            <w:pPr>
              <w:spacing w:after="0" w:line="480" w:lineRule="auto"/>
              <w:rPr>
                <w:rFonts w:eastAsia="Times New Roman"/>
              </w:rPr>
            </w:pPr>
            <w:r>
              <w:rPr>
                <w:rFonts w:eastAsia="Times New Roman"/>
              </w:rPr>
              <w:t xml:space="preserve">In </w:t>
            </w:r>
            <w:r w:rsidR="006B07DE">
              <w:rPr>
                <w:rFonts w:eastAsia="Times New Roman"/>
              </w:rPr>
              <w:t>nursing home the previous year</w:t>
            </w:r>
          </w:p>
        </w:tc>
        <w:tc>
          <w:tcPr>
            <w:tcW w:w="2610" w:type="dxa"/>
            <w:tcBorders>
              <w:top w:val="nil"/>
              <w:left w:val="nil"/>
              <w:bottom w:val="nil"/>
              <w:right w:val="nil"/>
            </w:tcBorders>
            <w:shd w:val="clear" w:color="auto" w:fill="auto"/>
            <w:noWrap/>
            <w:vAlign w:val="bottom"/>
            <w:hideMark/>
          </w:tcPr>
          <w:p w:rsidR="006B07DE" w:rsidRPr="00E211EA" w:rsidRDefault="006B07DE" w:rsidP="00FD560A">
            <w:pPr>
              <w:spacing w:after="0" w:line="480" w:lineRule="auto"/>
              <w:jc w:val="center"/>
              <w:rPr>
                <w:rFonts w:eastAsia="Times New Roman"/>
              </w:rPr>
            </w:pPr>
            <w:r w:rsidRPr="00E211EA">
              <w:rPr>
                <w:rFonts w:eastAsia="Times New Roman"/>
              </w:rPr>
              <w:t>7.4%</w:t>
            </w:r>
          </w:p>
        </w:tc>
        <w:tc>
          <w:tcPr>
            <w:tcW w:w="1800" w:type="dxa"/>
            <w:tcBorders>
              <w:top w:val="nil"/>
              <w:left w:val="nil"/>
              <w:bottom w:val="nil"/>
              <w:right w:val="nil"/>
            </w:tcBorders>
            <w:shd w:val="clear" w:color="auto" w:fill="auto"/>
            <w:noWrap/>
            <w:vAlign w:val="bottom"/>
            <w:hideMark/>
          </w:tcPr>
          <w:p w:rsidR="006B07DE" w:rsidRPr="00E211EA" w:rsidRDefault="006B07DE" w:rsidP="0000778D">
            <w:pPr>
              <w:spacing w:after="0" w:line="480" w:lineRule="auto"/>
              <w:ind w:right="522"/>
              <w:jc w:val="center"/>
              <w:rPr>
                <w:rFonts w:eastAsia="Times New Roman"/>
              </w:rPr>
            </w:pPr>
            <w:r w:rsidRPr="00E211EA">
              <w:rPr>
                <w:rFonts w:eastAsia="Times New Roman"/>
              </w:rPr>
              <w:t>6.3%</w:t>
            </w:r>
          </w:p>
        </w:tc>
        <w:tc>
          <w:tcPr>
            <w:tcW w:w="1710" w:type="dxa"/>
            <w:tcBorders>
              <w:top w:val="nil"/>
              <w:left w:val="nil"/>
              <w:bottom w:val="nil"/>
              <w:right w:val="nil"/>
            </w:tcBorders>
            <w:shd w:val="clear" w:color="auto" w:fill="auto"/>
            <w:noWrap/>
            <w:vAlign w:val="bottom"/>
            <w:hideMark/>
          </w:tcPr>
          <w:p w:rsidR="006B07DE" w:rsidRPr="00E211EA" w:rsidRDefault="006B07DE" w:rsidP="00FD560A">
            <w:pPr>
              <w:spacing w:after="0" w:line="480" w:lineRule="auto"/>
              <w:jc w:val="center"/>
              <w:rPr>
                <w:rFonts w:eastAsia="Times New Roman"/>
              </w:rPr>
            </w:pPr>
            <w:r w:rsidRPr="00E211EA">
              <w:rPr>
                <w:rFonts w:eastAsia="Times New Roman"/>
              </w:rPr>
              <w:t>0.0014</w:t>
            </w:r>
          </w:p>
        </w:tc>
      </w:tr>
      <w:tr w:rsidR="006B07DE" w:rsidRPr="00E211EA" w:rsidTr="004C5994">
        <w:trPr>
          <w:trHeight w:val="255"/>
        </w:trPr>
        <w:tc>
          <w:tcPr>
            <w:tcW w:w="3705" w:type="dxa"/>
            <w:tcBorders>
              <w:top w:val="nil"/>
              <w:left w:val="nil"/>
              <w:bottom w:val="nil"/>
              <w:right w:val="nil"/>
            </w:tcBorders>
            <w:shd w:val="clear" w:color="auto" w:fill="auto"/>
            <w:noWrap/>
            <w:vAlign w:val="bottom"/>
            <w:hideMark/>
          </w:tcPr>
          <w:p w:rsidR="006B07DE" w:rsidRPr="00E211EA" w:rsidRDefault="007556CC" w:rsidP="00FD560A">
            <w:pPr>
              <w:spacing w:after="0" w:line="480" w:lineRule="auto"/>
              <w:rPr>
                <w:rFonts w:eastAsia="Times New Roman"/>
              </w:rPr>
            </w:pPr>
            <w:r>
              <w:rPr>
                <w:rFonts w:eastAsia="Times New Roman"/>
              </w:rPr>
              <w:t xml:space="preserve">Diabetes </w:t>
            </w:r>
            <w:r w:rsidR="006B07DE">
              <w:rPr>
                <w:rFonts w:eastAsia="Times New Roman"/>
              </w:rPr>
              <w:t>as cause of ESRD</w:t>
            </w:r>
            <w:r w:rsidR="009224E2">
              <w:rPr>
                <w:rFonts w:eastAsia="Times New Roman"/>
              </w:rPr>
              <w:t xml:space="preserve"> </w:t>
            </w:r>
          </w:p>
        </w:tc>
        <w:tc>
          <w:tcPr>
            <w:tcW w:w="2610" w:type="dxa"/>
            <w:tcBorders>
              <w:top w:val="nil"/>
              <w:left w:val="nil"/>
              <w:bottom w:val="nil"/>
              <w:right w:val="nil"/>
            </w:tcBorders>
            <w:shd w:val="clear" w:color="auto" w:fill="auto"/>
            <w:noWrap/>
            <w:vAlign w:val="bottom"/>
            <w:hideMark/>
          </w:tcPr>
          <w:p w:rsidR="006B07DE" w:rsidRPr="00E211EA" w:rsidRDefault="006B07DE" w:rsidP="00FD560A">
            <w:pPr>
              <w:spacing w:after="0" w:line="480" w:lineRule="auto"/>
              <w:jc w:val="center"/>
              <w:rPr>
                <w:rFonts w:eastAsia="Times New Roman"/>
              </w:rPr>
            </w:pPr>
            <w:r w:rsidRPr="00E211EA">
              <w:rPr>
                <w:rFonts w:eastAsia="Times New Roman"/>
              </w:rPr>
              <w:t>44.3%</w:t>
            </w:r>
          </w:p>
        </w:tc>
        <w:tc>
          <w:tcPr>
            <w:tcW w:w="1800" w:type="dxa"/>
            <w:tcBorders>
              <w:top w:val="nil"/>
              <w:left w:val="nil"/>
              <w:bottom w:val="nil"/>
              <w:right w:val="nil"/>
            </w:tcBorders>
            <w:shd w:val="clear" w:color="auto" w:fill="auto"/>
            <w:noWrap/>
            <w:vAlign w:val="bottom"/>
            <w:hideMark/>
          </w:tcPr>
          <w:p w:rsidR="006B07DE" w:rsidRPr="00E211EA" w:rsidRDefault="006B07DE" w:rsidP="0000778D">
            <w:pPr>
              <w:spacing w:after="0" w:line="480" w:lineRule="auto"/>
              <w:ind w:right="522"/>
              <w:jc w:val="center"/>
              <w:rPr>
                <w:rFonts w:eastAsia="Times New Roman"/>
              </w:rPr>
            </w:pPr>
            <w:r w:rsidRPr="00E211EA">
              <w:rPr>
                <w:rFonts w:eastAsia="Times New Roman"/>
              </w:rPr>
              <w:t>38.6%</w:t>
            </w:r>
          </w:p>
        </w:tc>
        <w:tc>
          <w:tcPr>
            <w:tcW w:w="1710" w:type="dxa"/>
            <w:tcBorders>
              <w:top w:val="nil"/>
              <w:left w:val="nil"/>
              <w:bottom w:val="nil"/>
              <w:right w:val="nil"/>
            </w:tcBorders>
            <w:shd w:val="clear" w:color="auto" w:fill="auto"/>
            <w:noWrap/>
            <w:vAlign w:val="bottom"/>
            <w:hideMark/>
          </w:tcPr>
          <w:p w:rsidR="006B07DE" w:rsidRPr="00E211EA" w:rsidRDefault="006B07DE" w:rsidP="00FD560A">
            <w:pPr>
              <w:spacing w:after="0" w:line="480" w:lineRule="auto"/>
              <w:jc w:val="center"/>
              <w:rPr>
                <w:rFonts w:eastAsia="Times New Roman"/>
              </w:rPr>
            </w:pPr>
            <w:r w:rsidRPr="00E211EA">
              <w:rPr>
                <w:rFonts w:eastAsia="Times New Roman"/>
              </w:rPr>
              <w:t>&lt;</w:t>
            </w:r>
            <w:r>
              <w:rPr>
                <w:rFonts w:eastAsia="Times New Roman"/>
              </w:rPr>
              <w:t>0</w:t>
            </w:r>
            <w:r w:rsidRPr="00E211EA">
              <w:rPr>
                <w:rFonts w:eastAsia="Times New Roman"/>
              </w:rPr>
              <w:t>.0001</w:t>
            </w:r>
          </w:p>
        </w:tc>
      </w:tr>
      <w:tr w:rsidR="006B07DE" w:rsidRPr="00E211EA" w:rsidTr="004C5994">
        <w:trPr>
          <w:trHeight w:val="255"/>
        </w:trPr>
        <w:tc>
          <w:tcPr>
            <w:tcW w:w="3705" w:type="dxa"/>
            <w:tcBorders>
              <w:top w:val="nil"/>
              <w:left w:val="nil"/>
              <w:bottom w:val="nil"/>
              <w:right w:val="nil"/>
            </w:tcBorders>
            <w:shd w:val="clear" w:color="auto" w:fill="auto"/>
            <w:noWrap/>
            <w:vAlign w:val="bottom"/>
            <w:hideMark/>
          </w:tcPr>
          <w:p w:rsidR="006B07DE" w:rsidRPr="00E211EA" w:rsidRDefault="007556CC" w:rsidP="00FD560A">
            <w:pPr>
              <w:spacing w:after="0" w:line="480" w:lineRule="auto"/>
              <w:rPr>
                <w:rFonts w:eastAsia="Times New Roman"/>
              </w:rPr>
            </w:pPr>
            <w:r>
              <w:rPr>
                <w:rFonts w:eastAsia="Times New Roman"/>
              </w:rPr>
              <w:t xml:space="preserve">Female </w:t>
            </w:r>
            <w:r w:rsidR="006B07DE">
              <w:rPr>
                <w:rFonts w:eastAsia="Times New Roman"/>
              </w:rPr>
              <w:t xml:space="preserve">patients </w:t>
            </w:r>
          </w:p>
        </w:tc>
        <w:tc>
          <w:tcPr>
            <w:tcW w:w="2610" w:type="dxa"/>
            <w:tcBorders>
              <w:top w:val="nil"/>
              <w:left w:val="nil"/>
              <w:bottom w:val="nil"/>
              <w:right w:val="nil"/>
            </w:tcBorders>
            <w:shd w:val="clear" w:color="auto" w:fill="auto"/>
            <w:noWrap/>
            <w:vAlign w:val="bottom"/>
            <w:hideMark/>
          </w:tcPr>
          <w:p w:rsidR="006B07DE" w:rsidRPr="00E211EA" w:rsidRDefault="006B07DE" w:rsidP="00FD560A">
            <w:pPr>
              <w:spacing w:after="0" w:line="480" w:lineRule="auto"/>
              <w:jc w:val="center"/>
              <w:rPr>
                <w:rFonts w:eastAsia="Times New Roman"/>
              </w:rPr>
            </w:pPr>
            <w:r w:rsidRPr="00E211EA">
              <w:rPr>
                <w:rFonts w:eastAsia="Times New Roman"/>
              </w:rPr>
              <w:t>43.9%</w:t>
            </w:r>
          </w:p>
        </w:tc>
        <w:tc>
          <w:tcPr>
            <w:tcW w:w="1800" w:type="dxa"/>
            <w:tcBorders>
              <w:top w:val="nil"/>
              <w:left w:val="nil"/>
              <w:bottom w:val="nil"/>
              <w:right w:val="nil"/>
            </w:tcBorders>
            <w:shd w:val="clear" w:color="auto" w:fill="auto"/>
            <w:noWrap/>
            <w:vAlign w:val="bottom"/>
            <w:hideMark/>
          </w:tcPr>
          <w:p w:rsidR="006B07DE" w:rsidRPr="00E211EA" w:rsidRDefault="006B07DE" w:rsidP="0000778D">
            <w:pPr>
              <w:spacing w:after="0" w:line="480" w:lineRule="auto"/>
              <w:ind w:right="522"/>
              <w:jc w:val="center"/>
              <w:rPr>
                <w:rFonts w:eastAsia="Times New Roman"/>
              </w:rPr>
            </w:pPr>
            <w:r w:rsidRPr="00E211EA">
              <w:rPr>
                <w:rFonts w:eastAsia="Times New Roman"/>
              </w:rPr>
              <w:t>47.0%</w:t>
            </w:r>
          </w:p>
        </w:tc>
        <w:tc>
          <w:tcPr>
            <w:tcW w:w="1710" w:type="dxa"/>
            <w:tcBorders>
              <w:top w:val="nil"/>
              <w:left w:val="nil"/>
              <w:bottom w:val="nil"/>
              <w:right w:val="nil"/>
            </w:tcBorders>
            <w:shd w:val="clear" w:color="auto" w:fill="auto"/>
            <w:noWrap/>
            <w:vAlign w:val="bottom"/>
            <w:hideMark/>
          </w:tcPr>
          <w:p w:rsidR="006B07DE" w:rsidRPr="00E211EA" w:rsidRDefault="006B07DE" w:rsidP="00FD560A">
            <w:pPr>
              <w:spacing w:after="0" w:line="480" w:lineRule="auto"/>
              <w:jc w:val="center"/>
              <w:rPr>
                <w:rFonts w:eastAsia="Times New Roman"/>
              </w:rPr>
            </w:pPr>
            <w:r w:rsidRPr="00E211EA">
              <w:rPr>
                <w:rFonts w:eastAsia="Times New Roman"/>
              </w:rPr>
              <w:t>&lt;</w:t>
            </w:r>
            <w:r>
              <w:rPr>
                <w:rFonts w:eastAsia="Times New Roman"/>
              </w:rPr>
              <w:t>0</w:t>
            </w:r>
            <w:r w:rsidRPr="00E211EA">
              <w:rPr>
                <w:rFonts w:eastAsia="Times New Roman"/>
              </w:rPr>
              <w:t>.0001</w:t>
            </w:r>
          </w:p>
        </w:tc>
      </w:tr>
      <w:tr w:rsidR="006D5C4D" w:rsidRPr="00E211EA" w:rsidTr="004C5994">
        <w:trPr>
          <w:trHeight w:val="255"/>
        </w:trPr>
        <w:tc>
          <w:tcPr>
            <w:tcW w:w="3705" w:type="dxa"/>
            <w:tcBorders>
              <w:top w:val="nil"/>
              <w:left w:val="nil"/>
              <w:bottom w:val="nil"/>
              <w:right w:val="nil"/>
            </w:tcBorders>
            <w:shd w:val="clear" w:color="auto" w:fill="auto"/>
            <w:noWrap/>
            <w:vAlign w:val="bottom"/>
          </w:tcPr>
          <w:p w:rsidR="006D5C4D" w:rsidRPr="00E211EA" w:rsidRDefault="006D5C4D" w:rsidP="002D7364">
            <w:pPr>
              <w:spacing w:after="0" w:line="480" w:lineRule="auto"/>
              <w:rPr>
                <w:rFonts w:eastAsia="Times New Roman"/>
              </w:rPr>
            </w:pPr>
            <w:r>
              <w:rPr>
                <w:rFonts w:eastAsia="Times New Roman"/>
              </w:rPr>
              <w:t xml:space="preserve">Average </w:t>
            </w:r>
            <w:r w:rsidR="002D7364">
              <w:rPr>
                <w:rFonts w:eastAsia="Times New Roman"/>
              </w:rPr>
              <w:t>duration of</w:t>
            </w:r>
            <w:r>
              <w:rPr>
                <w:rFonts w:eastAsia="Times New Roman"/>
              </w:rPr>
              <w:t xml:space="preserve"> ESRD</w:t>
            </w:r>
            <w:r w:rsidR="008D19F0">
              <w:rPr>
                <w:rFonts w:eastAsia="Times New Roman"/>
              </w:rPr>
              <w:t xml:space="preserve"> (years)</w:t>
            </w:r>
          </w:p>
        </w:tc>
        <w:tc>
          <w:tcPr>
            <w:tcW w:w="2610" w:type="dxa"/>
            <w:tcBorders>
              <w:top w:val="nil"/>
              <w:left w:val="nil"/>
              <w:bottom w:val="nil"/>
              <w:right w:val="nil"/>
            </w:tcBorders>
            <w:shd w:val="clear" w:color="auto" w:fill="auto"/>
            <w:noWrap/>
          </w:tcPr>
          <w:p w:rsidR="006D5C4D" w:rsidRPr="00E211EA" w:rsidRDefault="006D5C4D" w:rsidP="00FD560A">
            <w:pPr>
              <w:spacing w:after="0" w:line="480" w:lineRule="auto"/>
              <w:jc w:val="center"/>
              <w:rPr>
                <w:rFonts w:eastAsia="Times New Roman"/>
              </w:rPr>
            </w:pPr>
            <w:r w:rsidRPr="000062F5">
              <w:t>3.6</w:t>
            </w:r>
          </w:p>
        </w:tc>
        <w:tc>
          <w:tcPr>
            <w:tcW w:w="1800" w:type="dxa"/>
            <w:tcBorders>
              <w:top w:val="nil"/>
              <w:left w:val="nil"/>
              <w:bottom w:val="nil"/>
              <w:right w:val="nil"/>
            </w:tcBorders>
            <w:shd w:val="clear" w:color="auto" w:fill="auto"/>
            <w:noWrap/>
          </w:tcPr>
          <w:p w:rsidR="006D5C4D" w:rsidRPr="00E211EA" w:rsidRDefault="006D5C4D" w:rsidP="0000778D">
            <w:pPr>
              <w:spacing w:after="0" w:line="480" w:lineRule="auto"/>
              <w:ind w:right="522"/>
              <w:jc w:val="center"/>
              <w:rPr>
                <w:rFonts w:eastAsia="Times New Roman"/>
              </w:rPr>
            </w:pPr>
            <w:r w:rsidRPr="000062F5">
              <w:t>4.3</w:t>
            </w:r>
          </w:p>
        </w:tc>
        <w:tc>
          <w:tcPr>
            <w:tcW w:w="1710" w:type="dxa"/>
            <w:tcBorders>
              <w:top w:val="nil"/>
              <w:left w:val="nil"/>
              <w:bottom w:val="nil"/>
              <w:right w:val="nil"/>
            </w:tcBorders>
            <w:shd w:val="clear" w:color="auto" w:fill="auto"/>
            <w:noWrap/>
          </w:tcPr>
          <w:p w:rsidR="006D5C4D" w:rsidRPr="00E211EA" w:rsidRDefault="006D5C4D" w:rsidP="00FD560A">
            <w:pPr>
              <w:spacing w:after="0" w:line="480" w:lineRule="auto"/>
              <w:jc w:val="center"/>
              <w:rPr>
                <w:rFonts w:eastAsia="Times New Roman"/>
              </w:rPr>
            </w:pPr>
            <w:r w:rsidRPr="000062F5">
              <w:t>&lt;</w:t>
            </w:r>
            <w:r>
              <w:t>0</w:t>
            </w:r>
            <w:r w:rsidRPr="000062F5">
              <w:t>.0001</w:t>
            </w:r>
          </w:p>
        </w:tc>
      </w:tr>
      <w:tr w:rsidR="006B07DE" w:rsidRPr="00E211EA" w:rsidTr="004C5994">
        <w:trPr>
          <w:trHeight w:val="255"/>
        </w:trPr>
        <w:tc>
          <w:tcPr>
            <w:tcW w:w="3705" w:type="dxa"/>
            <w:tcBorders>
              <w:left w:val="nil"/>
              <w:bottom w:val="single" w:sz="4" w:space="0" w:color="auto"/>
              <w:right w:val="nil"/>
            </w:tcBorders>
            <w:shd w:val="clear" w:color="auto" w:fill="auto"/>
            <w:noWrap/>
            <w:vAlign w:val="bottom"/>
          </w:tcPr>
          <w:p w:rsidR="006B07DE" w:rsidRDefault="006B07DE" w:rsidP="00D81F42">
            <w:pPr>
              <w:spacing w:after="0" w:line="480" w:lineRule="auto"/>
              <w:rPr>
                <w:rFonts w:eastAsia="Times New Roman"/>
              </w:rPr>
            </w:pPr>
            <w:r>
              <w:rPr>
                <w:rFonts w:eastAsia="Times New Roman"/>
              </w:rPr>
              <w:t xml:space="preserve">Rural </w:t>
            </w:r>
            <w:r w:rsidR="00D81F42">
              <w:rPr>
                <w:rFonts w:eastAsia="Times New Roman"/>
              </w:rPr>
              <w:t>facility</w:t>
            </w:r>
            <w:r w:rsidR="00D81F42">
              <w:rPr>
                <w:rFonts w:eastAsia="Times New Roman"/>
                <w:vertAlign w:val="superscript"/>
              </w:rPr>
              <w:t>c</w:t>
            </w:r>
          </w:p>
        </w:tc>
        <w:tc>
          <w:tcPr>
            <w:tcW w:w="2610" w:type="dxa"/>
            <w:tcBorders>
              <w:left w:val="nil"/>
              <w:bottom w:val="single" w:sz="4" w:space="0" w:color="auto"/>
              <w:right w:val="nil"/>
            </w:tcBorders>
            <w:shd w:val="clear" w:color="auto" w:fill="auto"/>
            <w:noWrap/>
            <w:vAlign w:val="bottom"/>
          </w:tcPr>
          <w:p w:rsidR="006B07DE" w:rsidRPr="00E211EA" w:rsidRDefault="0093438B" w:rsidP="00FD560A">
            <w:pPr>
              <w:spacing w:after="0" w:line="480" w:lineRule="auto"/>
              <w:jc w:val="center"/>
              <w:rPr>
                <w:rFonts w:eastAsia="Times New Roman"/>
              </w:rPr>
            </w:pPr>
            <w:r>
              <w:rPr>
                <w:rFonts w:eastAsia="Times New Roman"/>
              </w:rPr>
              <w:t>22.4</w:t>
            </w:r>
            <w:r w:rsidR="006B07DE">
              <w:rPr>
                <w:rFonts w:eastAsia="Times New Roman"/>
              </w:rPr>
              <w:t>%</w:t>
            </w:r>
          </w:p>
        </w:tc>
        <w:tc>
          <w:tcPr>
            <w:tcW w:w="1800" w:type="dxa"/>
            <w:tcBorders>
              <w:left w:val="nil"/>
              <w:bottom w:val="single" w:sz="4" w:space="0" w:color="auto"/>
              <w:right w:val="nil"/>
            </w:tcBorders>
            <w:shd w:val="clear" w:color="auto" w:fill="auto"/>
            <w:noWrap/>
            <w:vAlign w:val="bottom"/>
          </w:tcPr>
          <w:p w:rsidR="006B07DE" w:rsidRPr="00E211EA" w:rsidRDefault="0093438B" w:rsidP="0000778D">
            <w:pPr>
              <w:spacing w:after="0" w:line="480" w:lineRule="auto"/>
              <w:ind w:right="522"/>
              <w:jc w:val="center"/>
              <w:rPr>
                <w:rFonts w:eastAsia="Times New Roman"/>
              </w:rPr>
            </w:pPr>
            <w:r>
              <w:rPr>
                <w:rFonts w:eastAsia="Times New Roman"/>
              </w:rPr>
              <w:t>17.4</w:t>
            </w:r>
            <w:r w:rsidR="006B07DE">
              <w:rPr>
                <w:rFonts w:eastAsia="Times New Roman"/>
              </w:rPr>
              <w:t>%</w:t>
            </w:r>
          </w:p>
        </w:tc>
        <w:tc>
          <w:tcPr>
            <w:tcW w:w="1710" w:type="dxa"/>
            <w:tcBorders>
              <w:left w:val="nil"/>
              <w:bottom w:val="single" w:sz="4" w:space="0" w:color="auto"/>
              <w:right w:val="nil"/>
            </w:tcBorders>
            <w:shd w:val="clear" w:color="auto" w:fill="auto"/>
            <w:noWrap/>
            <w:vAlign w:val="bottom"/>
          </w:tcPr>
          <w:p w:rsidR="006B07DE" w:rsidRPr="00E211EA" w:rsidRDefault="0093438B" w:rsidP="00FD560A">
            <w:pPr>
              <w:spacing w:after="0" w:line="480" w:lineRule="auto"/>
              <w:jc w:val="center"/>
              <w:rPr>
                <w:rFonts w:eastAsia="Times New Roman"/>
              </w:rPr>
            </w:pPr>
            <w:r w:rsidRPr="0093438B">
              <w:rPr>
                <w:rFonts w:eastAsia="Times New Roman"/>
              </w:rPr>
              <w:t>0.0054</w:t>
            </w:r>
          </w:p>
        </w:tc>
      </w:tr>
      <w:tr w:rsidR="006B07DE" w:rsidRPr="00E211EA" w:rsidTr="00FD560A">
        <w:trPr>
          <w:trHeight w:val="255"/>
        </w:trPr>
        <w:tc>
          <w:tcPr>
            <w:tcW w:w="9825" w:type="dxa"/>
            <w:gridSpan w:val="4"/>
            <w:tcBorders>
              <w:top w:val="single" w:sz="4" w:space="0" w:color="auto"/>
              <w:left w:val="nil"/>
              <w:bottom w:val="nil"/>
              <w:right w:val="nil"/>
            </w:tcBorders>
            <w:shd w:val="clear" w:color="auto" w:fill="auto"/>
            <w:noWrap/>
            <w:vAlign w:val="bottom"/>
          </w:tcPr>
          <w:p w:rsidR="006B07DE" w:rsidRDefault="00D81F42" w:rsidP="00FD560A">
            <w:pPr>
              <w:spacing w:after="0" w:line="480" w:lineRule="auto"/>
              <w:rPr>
                <w:rFonts w:eastAsia="Times New Roman"/>
                <w:sz w:val="18"/>
              </w:rPr>
            </w:pPr>
            <w:r>
              <w:rPr>
                <w:rFonts w:eastAsia="Times New Roman"/>
                <w:sz w:val="18"/>
                <w:vertAlign w:val="superscript"/>
              </w:rPr>
              <w:t>a</w:t>
            </w:r>
            <w:r>
              <w:t xml:space="preserve"> </w:t>
            </w:r>
            <w:r w:rsidR="006B07DE" w:rsidRPr="001819E1">
              <w:rPr>
                <w:rFonts w:eastAsia="Times New Roman"/>
                <w:sz w:val="18"/>
              </w:rPr>
              <w:t xml:space="preserve">Test for difference based on independent samples t-tests for </w:t>
            </w:r>
            <w:r w:rsidR="006B07DE">
              <w:rPr>
                <w:rFonts w:eastAsia="Times New Roman"/>
                <w:sz w:val="18"/>
              </w:rPr>
              <w:t>all except rural facility characteristic, which was based on a</w:t>
            </w:r>
            <w:r w:rsidR="006B07DE" w:rsidRPr="001819E1">
              <w:rPr>
                <w:rFonts w:eastAsia="Times New Roman"/>
                <w:sz w:val="18"/>
              </w:rPr>
              <w:t xml:space="preserve"> chi-square test</w:t>
            </w:r>
            <w:r w:rsidR="003D62E1">
              <w:rPr>
                <w:rFonts w:eastAsia="Times New Roman"/>
                <w:sz w:val="18"/>
              </w:rPr>
              <w:t>.</w:t>
            </w:r>
          </w:p>
          <w:p w:rsidR="00DB3822" w:rsidRPr="00FD560A" w:rsidRDefault="00D81F42" w:rsidP="00FD560A">
            <w:pPr>
              <w:spacing w:after="0" w:line="480" w:lineRule="auto"/>
              <w:rPr>
                <w:rFonts w:eastAsia="Times New Roman"/>
                <w:sz w:val="18"/>
                <w:vertAlign w:val="superscript"/>
              </w:rPr>
            </w:pPr>
            <w:r>
              <w:rPr>
                <w:rFonts w:eastAsia="Times New Roman"/>
                <w:sz w:val="18"/>
                <w:vertAlign w:val="superscript"/>
              </w:rPr>
              <w:t>b</w:t>
            </w:r>
            <w:r w:rsidRPr="00FD560A">
              <w:rPr>
                <w:rFonts w:eastAsia="Times New Roman"/>
                <w:sz w:val="18"/>
              </w:rPr>
              <w:t xml:space="preserve"> </w:t>
            </w:r>
            <w:r w:rsidR="00061CAD">
              <w:rPr>
                <w:rFonts w:eastAsia="Times New Roman"/>
                <w:sz w:val="18"/>
              </w:rPr>
              <w:t xml:space="preserve">Average income for each facility was based on the </w:t>
            </w:r>
            <w:r w:rsidR="00DB3822">
              <w:rPr>
                <w:rFonts w:eastAsia="Times New Roman"/>
                <w:sz w:val="18"/>
              </w:rPr>
              <w:t>median household income</w:t>
            </w:r>
            <w:r w:rsidR="00061CAD">
              <w:rPr>
                <w:rFonts w:eastAsia="Times New Roman"/>
                <w:sz w:val="18"/>
              </w:rPr>
              <w:t xml:space="preserve"> </w:t>
            </w:r>
            <w:r w:rsidR="00613E7C">
              <w:rPr>
                <w:rFonts w:eastAsia="Times New Roman"/>
                <w:sz w:val="18"/>
              </w:rPr>
              <w:t>for each</w:t>
            </w:r>
            <w:r w:rsidR="00061CAD">
              <w:rPr>
                <w:rFonts w:eastAsia="Times New Roman"/>
                <w:sz w:val="18"/>
              </w:rPr>
              <w:t xml:space="preserve"> patient’s zip code of residence</w:t>
            </w:r>
            <w:r w:rsidR="00DD6561">
              <w:rPr>
                <w:rFonts w:eastAsia="Times New Roman"/>
                <w:sz w:val="18"/>
              </w:rPr>
              <w:t xml:space="preserve"> (income data source: </w:t>
            </w:r>
            <w:r w:rsidR="00DD6561" w:rsidRPr="00DD6561">
              <w:rPr>
                <w:rFonts w:eastAsia="Times New Roman"/>
                <w:sz w:val="18"/>
              </w:rPr>
              <w:t>A</w:t>
            </w:r>
            <w:r w:rsidR="00DD6561">
              <w:rPr>
                <w:rFonts w:eastAsia="Times New Roman"/>
                <w:sz w:val="18"/>
              </w:rPr>
              <w:t>merican Community Survey</w:t>
            </w:r>
            <w:r w:rsidR="008D3A22">
              <w:rPr>
                <w:rFonts w:eastAsia="Times New Roman"/>
                <w:sz w:val="18"/>
              </w:rPr>
              <w:t xml:space="preserve"> 2007-2011, </w:t>
            </w:r>
            <w:r w:rsidR="00DD6561" w:rsidRPr="00DD6561">
              <w:rPr>
                <w:rFonts w:eastAsia="Times New Roman"/>
                <w:sz w:val="18"/>
              </w:rPr>
              <w:t>Social Explorer,</w:t>
            </w:r>
            <w:r w:rsidR="00DD6561">
              <w:rPr>
                <w:rFonts w:eastAsia="Times New Roman"/>
                <w:sz w:val="18"/>
              </w:rPr>
              <w:t xml:space="preserve"> </w:t>
            </w:r>
            <w:r w:rsidR="008D3A22">
              <w:rPr>
                <w:rFonts w:eastAsia="Times New Roman"/>
                <w:sz w:val="18"/>
              </w:rPr>
              <w:t xml:space="preserve">and </w:t>
            </w:r>
            <w:r w:rsidR="00DD6561" w:rsidRPr="00DD6561">
              <w:rPr>
                <w:rFonts w:eastAsia="Times New Roman"/>
                <w:sz w:val="18"/>
              </w:rPr>
              <w:t>U.S. Census Bureau</w:t>
            </w:r>
            <w:r w:rsidR="00472C7D">
              <w:rPr>
                <w:rFonts w:eastAsia="Times New Roman"/>
                <w:sz w:val="18"/>
              </w:rPr>
              <w:t>; if a patient was missing zip code of residence he/she was assigned the facility’s zip code</w:t>
            </w:r>
            <w:r w:rsidR="00DD6561">
              <w:rPr>
                <w:rFonts w:eastAsia="Times New Roman"/>
                <w:sz w:val="18"/>
              </w:rPr>
              <w:t>)</w:t>
            </w:r>
            <w:r w:rsidR="003D62E1">
              <w:rPr>
                <w:rFonts w:eastAsia="Times New Roman"/>
                <w:sz w:val="18"/>
              </w:rPr>
              <w:t>.</w:t>
            </w:r>
            <w:r w:rsidR="00D66A87" w:rsidRPr="00D66A87">
              <w:rPr>
                <w:rFonts w:eastAsia="Times New Roman"/>
                <w:sz w:val="18"/>
                <w:vertAlign w:val="superscript"/>
              </w:rPr>
              <w:t>25</w:t>
            </w:r>
          </w:p>
          <w:p w:rsidR="006B07DE" w:rsidRPr="006640FB" w:rsidRDefault="00D81F42" w:rsidP="00FD560A">
            <w:pPr>
              <w:spacing w:after="0" w:line="480" w:lineRule="auto"/>
              <w:rPr>
                <w:rFonts w:eastAsia="Times New Roman"/>
                <w:sz w:val="18"/>
              </w:rPr>
            </w:pPr>
            <w:r>
              <w:rPr>
                <w:rFonts w:eastAsia="Times New Roman"/>
                <w:sz w:val="18"/>
                <w:vertAlign w:val="superscript"/>
              </w:rPr>
              <w:t>c</w:t>
            </w:r>
            <w:r w:rsidR="00B222B3">
              <w:rPr>
                <w:rFonts w:eastAsia="Times New Roman"/>
                <w:sz w:val="18"/>
                <w:vertAlign w:val="superscript"/>
              </w:rPr>
              <w:t xml:space="preserve"> </w:t>
            </w:r>
            <w:r w:rsidR="006B07DE" w:rsidRPr="006640FB">
              <w:rPr>
                <w:rFonts w:eastAsia="Times New Roman"/>
                <w:sz w:val="18"/>
              </w:rPr>
              <w:t xml:space="preserve">Table reports the percentage of facilities in the </w:t>
            </w:r>
            <w:r w:rsidR="006B07DE">
              <w:rPr>
                <w:rFonts w:eastAsia="Times New Roman"/>
                <w:sz w:val="18"/>
              </w:rPr>
              <w:t>“</w:t>
            </w:r>
            <w:r w:rsidR="006B07DE" w:rsidRPr="006640FB">
              <w:rPr>
                <w:rFonts w:eastAsia="Times New Roman"/>
                <w:sz w:val="18"/>
              </w:rPr>
              <w:t>percentage of black patients</w:t>
            </w:r>
            <w:r w:rsidR="006B07DE">
              <w:rPr>
                <w:rFonts w:eastAsia="Times New Roman"/>
                <w:sz w:val="18"/>
              </w:rPr>
              <w:t>”</w:t>
            </w:r>
            <w:r w:rsidR="006B07DE" w:rsidRPr="006640FB">
              <w:rPr>
                <w:rFonts w:eastAsia="Times New Roman"/>
                <w:sz w:val="18"/>
              </w:rPr>
              <w:t xml:space="preserve"> category that are rural</w:t>
            </w:r>
            <w:r w:rsidR="003D62E1">
              <w:rPr>
                <w:rFonts w:eastAsia="Times New Roman"/>
                <w:sz w:val="18"/>
              </w:rPr>
              <w:t>.</w:t>
            </w:r>
          </w:p>
        </w:tc>
      </w:tr>
    </w:tbl>
    <w:p w:rsidR="00824BC5" w:rsidRDefault="00824BC5" w:rsidP="00824BC5">
      <w:pPr>
        <w:spacing w:after="0" w:line="240" w:lineRule="auto"/>
      </w:pPr>
    </w:p>
    <w:p w:rsidR="00824BC5" w:rsidRDefault="00824BC5">
      <w:pPr>
        <w:spacing w:after="0" w:line="240" w:lineRule="auto"/>
      </w:pPr>
      <w:r>
        <w:br w:type="page"/>
      </w:r>
    </w:p>
    <w:p w:rsidR="00671872" w:rsidRDefault="007F0CFC" w:rsidP="004C5994">
      <w:pPr>
        <w:spacing w:after="0" w:line="480" w:lineRule="auto"/>
        <w:jc w:val="center"/>
        <w:rPr>
          <w:noProof/>
        </w:rPr>
      </w:pPr>
      <w:r>
        <w:rPr>
          <w:noProof/>
          <w:lang w:eastAsia="en-US"/>
        </w:rPr>
        <w:drawing>
          <wp:inline distT="0" distB="0" distL="0" distR="0" wp14:anchorId="00FFA794" wp14:editId="6ACC996D">
            <wp:extent cx="4510776" cy="3386938"/>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a:blip r:embed="rId15">
                      <a:extLst>
                        <a:ext uri="{28A0092B-C50C-407E-A947-70E740481C1C}">
                          <a14:useLocalDpi xmlns:a14="http://schemas.microsoft.com/office/drawing/2010/main" val="0"/>
                        </a:ext>
                      </a:extLst>
                    </a:blip>
                    <a:stretch>
                      <a:fillRect/>
                    </a:stretch>
                  </pic:blipFill>
                  <pic:spPr>
                    <a:xfrm>
                      <a:off x="0" y="0"/>
                      <a:ext cx="4508002" cy="3384855"/>
                    </a:xfrm>
                    <a:prstGeom prst="rect">
                      <a:avLst/>
                    </a:prstGeom>
                  </pic:spPr>
                </pic:pic>
              </a:graphicData>
            </a:graphic>
          </wp:inline>
        </w:drawing>
      </w:r>
    </w:p>
    <w:p w:rsidR="009224E2" w:rsidRPr="002A1FD6" w:rsidRDefault="00BD595B" w:rsidP="00CD144A">
      <w:pPr>
        <w:spacing w:after="0" w:line="480" w:lineRule="auto"/>
      </w:pPr>
      <w:r w:rsidRPr="002A1FD6">
        <w:rPr>
          <w:b/>
        </w:rPr>
        <w:t xml:space="preserve">Figure </w:t>
      </w:r>
      <w:r w:rsidR="00750828" w:rsidRPr="00DF3B6B">
        <w:rPr>
          <w:b/>
        </w:rPr>
        <w:fldChar w:fldCharType="begin"/>
      </w:r>
      <w:r w:rsidRPr="002A1FD6">
        <w:rPr>
          <w:b/>
        </w:rPr>
        <w:instrText xml:space="preserve"> SEQ Figure \* ARABIC </w:instrText>
      </w:r>
      <w:r w:rsidR="00750828" w:rsidRPr="00DF3B6B">
        <w:rPr>
          <w:b/>
        </w:rPr>
        <w:fldChar w:fldCharType="separate"/>
      </w:r>
      <w:r w:rsidR="00D024AA">
        <w:rPr>
          <w:b/>
          <w:noProof/>
        </w:rPr>
        <w:t>1</w:t>
      </w:r>
      <w:r w:rsidR="00750828" w:rsidRPr="00DF3B6B">
        <w:rPr>
          <w:b/>
          <w:noProof/>
        </w:rPr>
        <w:fldChar w:fldCharType="end"/>
      </w:r>
      <w:r w:rsidRPr="002A1FD6">
        <w:rPr>
          <w:b/>
          <w:noProof/>
        </w:rPr>
        <w:t>.</w:t>
      </w:r>
      <w:r w:rsidRPr="002A1FD6">
        <w:rPr>
          <w:noProof/>
        </w:rPr>
        <w:t xml:space="preserve"> </w:t>
      </w:r>
      <w:r w:rsidRPr="00A30202">
        <w:rPr>
          <w:noProof/>
        </w:rPr>
        <w:t>Comparison of 2010 SMRs from models adjusted and unadjusted for race and ethnicity. The x-axis is the percent of black patients at facilities grouped into deciles</w:t>
      </w:r>
      <w:r w:rsidRPr="00953AC7">
        <w:rPr>
          <w:noProof/>
        </w:rPr>
        <w:t>.</w:t>
      </w:r>
      <w:r>
        <w:rPr>
          <w:noProof/>
        </w:rPr>
        <w:t xml:space="preserve"> </w:t>
      </w:r>
      <w:r w:rsidRPr="00953AC7">
        <w:rPr>
          <w:noProof/>
        </w:rPr>
        <w:t>Plotted points are the estimated SMR versus the average percent</w:t>
      </w:r>
      <w:r>
        <w:rPr>
          <w:noProof/>
        </w:rPr>
        <w:t>age of blacks</w:t>
      </w:r>
      <w:r w:rsidRPr="00953AC7">
        <w:rPr>
          <w:noProof/>
        </w:rPr>
        <w:t xml:space="preserve"> for the</w:t>
      </w:r>
      <w:r>
        <w:rPr>
          <w:noProof/>
        </w:rPr>
        <w:t xml:space="preserve"> </w:t>
      </w:r>
      <w:r w:rsidRPr="00953AC7">
        <w:rPr>
          <w:noProof/>
        </w:rPr>
        <w:t>decile.</w:t>
      </w:r>
      <w:r>
        <w:rPr>
          <w:b/>
          <w:noProof/>
        </w:rPr>
        <w:t xml:space="preserve"> </w:t>
      </w:r>
      <w:r w:rsidRPr="004C5994">
        <w:rPr>
          <w:noProof/>
        </w:rPr>
        <w:t xml:space="preserve">Shaded areas are 95% confidence intervals. </w:t>
      </w:r>
    </w:p>
    <w:p w:rsidR="009224E2" w:rsidRDefault="009224E2" w:rsidP="009224E2">
      <w:pPr>
        <w:spacing w:after="0" w:line="240" w:lineRule="auto"/>
        <w:rPr>
          <w:b/>
        </w:rPr>
      </w:pPr>
      <w:r>
        <w:rPr>
          <w:b/>
        </w:rPr>
        <w:br w:type="page"/>
      </w:r>
    </w:p>
    <w:p w:rsidR="00671872" w:rsidRDefault="007F0CFC" w:rsidP="004C5994">
      <w:pPr>
        <w:spacing w:after="0" w:line="480" w:lineRule="auto"/>
        <w:jc w:val="center"/>
        <w:rPr>
          <w:noProof/>
        </w:rPr>
      </w:pPr>
      <w:r>
        <w:rPr>
          <w:noProof/>
          <w:lang w:eastAsia="en-US"/>
        </w:rPr>
        <w:drawing>
          <wp:inline distT="0" distB="0" distL="0" distR="0" wp14:anchorId="2E7D95B7" wp14:editId="22E5605A">
            <wp:extent cx="4507992" cy="3384847"/>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16">
                      <a:extLst>
                        <a:ext uri="{28A0092B-C50C-407E-A947-70E740481C1C}">
                          <a14:useLocalDpi xmlns:a14="http://schemas.microsoft.com/office/drawing/2010/main" val="0"/>
                        </a:ext>
                      </a:extLst>
                    </a:blip>
                    <a:stretch>
                      <a:fillRect/>
                    </a:stretch>
                  </pic:blipFill>
                  <pic:spPr>
                    <a:xfrm>
                      <a:off x="0" y="0"/>
                      <a:ext cx="4507992" cy="3384847"/>
                    </a:xfrm>
                    <a:prstGeom prst="rect">
                      <a:avLst/>
                    </a:prstGeom>
                  </pic:spPr>
                </pic:pic>
              </a:graphicData>
            </a:graphic>
          </wp:inline>
        </w:drawing>
      </w:r>
    </w:p>
    <w:p w:rsidR="006F3EAB" w:rsidRDefault="006561A4" w:rsidP="00264A5F">
      <w:pPr>
        <w:spacing w:after="0" w:line="480" w:lineRule="auto"/>
      </w:pPr>
      <w:r w:rsidRPr="002A1FD6">
        <w:rPr>
          <w:b/>
        </w:rPr>
        <w:t xml:space="preserve">Figure </w:t>
      </w:r>
      <w:r w:rsidR="00750828" w:rsidRPr="00DF3B6B">
        <w:rPr>
          <w:b/>
        </w:rPr>
        <w:fldChar w:fldCharType="begin"/>
      </w:r>
      <w:r w:rsidRPr="002A1FD6">
        <w:rPr>
          <w:b/>
        </w:rPr>
        <w:instrText xml:space="preserve"> SEQ Figure \* ARABIC </w:instrText>
      </w:r>
      <w:r w:rsidR="00750828" w:rsidRPr="00DF3B6B">
        <w:rPr>
          <w:b/>
        </w:rPr>
        <w:fldChar w:fldCharType="separate"/>
      </w:r>
      <w:r w:rsidR="00D024AA">
        <w:rPr>
          <w:b/>
          <w:noProof/>
        </w:rPr>
        <w:t>2</w:t>
      </w:r>
      <w:r w:rsidR="00750828" w:rsidRPr="00DF3B6B">
        <w:rPr>
          <w:b/>
          <w:noProof/>
        </w:rPr>
        <w:fldChar w:fldCharType="end"/>
      </w:r>
      <w:r w:rsidRPr="002A1FD6">
        <w:rPr>
          <w:b/>
        </w:rPr>
        <w:t>.</w:t>
      </w:r>
      <w:r w:rsidRPr="002A1FD6">
        <w:t xml:space="preserve"> Comparison of </w:t>
      </w:r>
      <w:r>
        <w:t xml:space="preserve">2010 estimated SMRs for </w:t>
      </w:r>
      <w:r w:rsidRPr="002A1FD6">
        <w:t xml:space="preserve">black and non-black patient </w:t>
      </w:r>
      <w:r w:rsidRPr="002A1FD6">
        <w:rPr>
          <w:noProof/>
        </w:rPr>
        <w:t xml:space="preserve">adjusted for race and ethnicity. The x-axis is the percent of black patients at facilities grouped into deciles. </w:t>
      </w:r>
      <w:r w:rsidRPr="00CB44A6">
        <w:rPr>
          <w:noProof/>
        </w:rPr>
        <w:t>Plotted points are the estimated SMR versus the average percent</w:t>
      </w:r>
      <w:r>
        <w:rPr>
          <w:noProof/>
        </w:rPr>
        <w:t>age of blacks</w:t>
      </w:r>
      <w:r w:rsidRPr="00CB44A6">
        <w:rPr>
          <w:noProof/>
        </w:rPr>
        <w:t xml:space="preserve"> for the</w:t>
      </w:r>
      <w:r>
        <w:rPr>
          <w:noProof/>
        </w:rPr>
        <w:t xml:space="preserve"> </w:t>
      </w:r>
      <w:r w:rsidRPr="00CB44A6">
        <w:rPr>
          <w:noProof/>
        </w:rPr>
        <w:t>decile.</w:t>
      </w:r>
      <w:r>
        <w:rPr>
          <w:b/>
          <w:noProof/>
        </w:rPr>
        <w:t xml:space="preserve"> </w:t>
      </w:r>
      <w:r w:rsidRPr="00C1566D">
        <w:rPr>
          <w:noProof/>
        </w:rPr>
        <w:t xml:space="preserve">Shaded areas are 95% confidence intervals. </w:t>
      </w:r>
    </w:p>
    <w:sectPr w:rsidR="006F3EAB" w:rsidSect="009A269C">
      <w:footerReference w:type="default" r:id="rId17"/>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D40246" w15:done="0"/>
  <w15:commentEx w15:paraId="28683204" w15:done="0"/>
  <w15:commentEx w15:paraId="40537D39" w15:done="0"/>
  <w15:commentEx w15:paraId="5DF7CF45" w15:done="0"/>
  <w15:commentEx w15:paraId="06D7628F" w15:done="0"/>
  <w15:commentEx w15:paraId="3B49CB7B" w15:done="0"/>
  <w15:commentEx w15:paraId="19101277" w15:done="0"/>
  <w15:commentEx w15:paraId="3655CED2" w15:done="0"/>
  <w15:commentEx w15:paraId="14EC311F" w15:done="0"/>
  <w15:commentEx w15:paraId="691C649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13B8" w:rsidRDefault="001C13B8" w:rsidP="003267A0">
      <w:pPr>
        <w:spacing w:after="0" w:line="240" w:lineRule="auto"/>
      </w:pPr>
      <w:r>
        <w:separator/>
      </w:r>
    </w:p>
  </w:endnote>
  <w:endnote w:type="continuationSeparator" w:id="0">
    <w:p w:rsidR="001C13B8" w:rsidRDefault="001C13B8" w:rsidP="003267A0">
      <w:pPr>
        <w:spacing w:after="0" w:line="240" w:lineRule="auto"/>
      </w:pPr>
      <w:r>
        <w:continuationSeparator/>
      </w:r>
    </w:p>
  </w:endnote>
  <w:endnote w:type="continuationNotice" w:id="1">
    <w:p w:rsidR="001C13B8" w:rsidRDefault="001C13B8">
      <w:pPr>
        <w:spacing w:after="0" w:line="240" w:lineRule="auto"/>
      </w:pPr>
    </w:p>
  </w:endnote>
  <w:endnote w:id="2">
    <w:p w:rsidR="0098796A" w:rsidRPr="00CA67AF" w:rsidRDefault="0098796A" w:rsidP="007532FC">
      <w:pPr>
        <w:pStyle w:val="EndnoteText"/>
      </w:pPr>
      <w:r w:rsidRPr="00016A35">
        <w:rPr>
          <w:rStyle w:val="EndnoteReference"/>
          <w:vertAlign w:val="baseline"/>
        </w:rPr>
        <w:endnoteRef/>
      </w:r>
      <w:r w:rsidRPr="00016A35">
        <w:t xml:space="preserve"> </w:t>
      </w:r>
      <w:r>
        <w:tab/>
      </w:r>
      <w:r w:rsidRPr="00CA67AF">
        <w:t>The University of Michigan Kidney Epidemiology and Cost Center (UM-KECC) produces the Dialysis Facility Reports (DFR) under contract to the Centers for Medicare and Medicaid Services (CMS).</w:t>
      </w:r>
      <w:r>
        <w:t xml:space="preserve"> </w:t>
      </w:r>
      <w:r w:rsidRPr="00CA67AF">
        <w:t>Information regarding this report is available at:</w:t>
      </w:r>
      <w:r>
        <w:t xml:space="preserve"> </w:t>
      </w:r>
      <w:r w:rsidRPr="00CA67AF">
        <w:t>https://dialysisdata.org/content/methodology. Before September 2014 this documentation was available at http://www.dialysisreports.org, which previously supported preview of DFR and DFC data to facilities.</w:t>
      </w:r>
    </w:p>
  </w:endnote>
  <w:endnote w:id="3">
    <w:p w:rsidR="0098796A" w:rsidRPr="00CA67AF" w:rsidRDefault="0098796A" w:rsidP="007532FC">
      <w:pPr>
        <w:pStyle w:val="EndnoteText"/>
      </w:pPr>
      <w:r w:rsidRPr="00CA67AF">
        <w:rPr>
          <w:rStyle w:val="EndnoteReference"/>
          <w:vertAlign w:val="baseline"/>
        </w:rPr>
        <w:endnoteRef/>
      </w:r>
      <w:r w:rsidRPr="00CA67AF">
        <w:t xml:space="preserve"> </w:t>
      </w:r>
      <w:r>
        <w:tab/>
      </w:r>
      <w:r w:rsidRPr="00CA67AF">
        <w:t>Centers for Medicare and Medicaid Services (CMS) Dialysis Facility Compare. Available at: http://www.medicare.gov/dialysisfacilitycompare/search.html</w:t>
      </w:r>
    </w:p>
  </w:endnote>
  <w:endnote w:id="4">
    <w:p w:rsidR="0098796A" w:rsidRPr="00CA67AF" w:rsidRDefault="0098796A" w:rsidP="007532FC">
      <w:pPr>
        <w:pStyle w:val="EndnoteText"/>
      </w:pPr>
      <w:r w:rsidRPr="005A1D36">
        <w:rPr>
          <w:rStyle w:val="EndnoteReference"/>
          <w:vertAlign w:val="baseline"/>
        </w:rPr>
        <w:endnoteRef/>
      </w:r>
      <w:r w:rsidRPr="00CA67AF">
        <w:t xml:space="preserve"> </w:t>
      </w:r>
      <w:r>
        <w:tab/>
      </w:r>
      <w:r w:rsidRPr="00CA67AF">
        <w:t>National Quality Forum.</w:t>
      </w:r>
      <w:r>
        <w:t xml:space="preserve"> </w:t>
      </w:r>
      <w:r w:rsidRPr="00CA67AF">
        <w:t>Guidance for measure testing and evaluating scientific acceptability of measure properties. Available at: http://www.qualityforum.org/WorkArea/linkit.aspx?LinkIdentifier=id&amp;ItemID=59116. 2011. Accessed March 28, 2014</w:t>
      </w:r>
    </w:p>
  </w:endnote>
  <w:endnote w:id="5">
    <w:p w:rsidR="0098796A" w:rsidRPr="00CA67AF" w:rsidRDefault="0098796A" w:rsidP="007532FC">
      <w:pPr>
        <w:pStyle w:val="EndnoteText"/>
      </w:pPr>
      <w:r w:rsidRPr="00CA67AF">
        <w:rPr>
          <w:rStyle w:val="EndnoteReference"/>
          <w:vertAlign w:val="baseline"/>
        </w:rPr>
        <w:endnoteRef/>
      </w:r>
      <w:r w:rsidRPr="00CA67AF">
        <w:t xml:space="preserve"> </w:t>
      </w:r>
      <w:r>
        <w:tab/>
      </w:r>
      <w:r w:rsidRPr="00CA67AF">
        <w:t xml:space="preserve">Cox DR: Regression models and life tables (with discussion). </w:t>
      </w:r>
      <w:r w:rsidRPr="00A24999">
        <w:rPr>
          <w:i/>
        </w:rPr>
        <w:t>J R Stat Soc</w:t>
      </w:r>
      <w:r w:rsidRPr="00CA67AF">
        <w:t xml:space="preserve"> 34: 187</w:t>
      </w:r>
      <w:r>
        <w:t>–</w:t>
      </w:r>
      <w:r w:rsidRPr="00CA67AF">
        <w:t>220, 1972</w:t>
      </w:r>
    </w:p>
  </w:endnote>
  <w:endnote w:id="6">
    <w:p w:rsidR="0098796A" w:rsidRPr="00CA67AF" w:rsidRDefault="0098796A" w:rsidP="007532FC">
      <w:pPr>
        <w:pStyle w:val="EndnoteText"/>
      </w:pPr>
      <w:r w:rsidRPr="00CA67AF">
        <w:endnoteRef/>
      </w:r>
      <w:r w:rsidRPr="00CA67AF">
        <w:t xml:space="preserve"> </w:t>
      </w:r>
      <w:r>
        <w:tab/>
      </w:r>
      <w:r w:rsidRPr="00CA67AF">
        <w:t xml:space="preserve">Kalbfleisch JD, Prentice RL: </w:t>
      </w:r>
      <w:r w:rsidRPr="00CD144A">
        <w:rPr>
          <w:i/>
        </w:rPr>
        <w:t>The statistical analysis of failure time data</w:t>
      </w:r>
      <w:r w:rsidRPr="00CA67AF">
        <w:t>. Hoboken, New Jersey: John Wiley &amp; Sons, Inc., 2002</w:t>
      </w:r>
    </w:p>
  </w:endnote>
  <w:endnote w:id="7">
    <w:p w:rsidR="0098796A" w:rsidRDefault="0098796A">
      <w:pPr>
        <w:pStyle w:val="EndnoteText"/>
      </w:pPr>
      <w:r w:rsidRPr="00DE5909">
        <w:rPr>
          <w:rStyle w:val="EndnoteReference"/>
          <w:vertAlign w:val="baseline"/>
        </w:rPr>
        <w:endnoteRef/>
      </w:r>
      <w:r>
        <w:t xml:space="preserve"> </w:t>
      </w:r>
      <w:r>
        <w:tab/>
      </w:r>
      <w:r w:rsidRPr="00CD144A">
        <w:t>National Quality Forum. Final technical report: Risk adjustment for socioeconomic status or other sociodemographic factors. Available at: http://www.qualityforum.org/Risk_Adjustment_SES.aspx. Accessed August 28, 2014</w:t>
      </w:r>
    </w:p>
  </w:endnote>
  <w:endnote w:id="8">
    <w:p w:rsidR="0098796A" w:rsidRDefault="0098796A">
      <w:pPr>
        <w:pStyle w:val="EndnoteText"/>
      </w:pPr>
      <w:r w:rsidRPr="00A27F60">
        <w:rPr>
          <w:rStyle w:val="EndnoteReference"/>
          <w:vertAlign w:val="baseline"/>
        </w:rPr>
        <w:endnoteRef/>
      </w:r>
      <w:r>
        <w:t xml:space="preserve"> </w:t>
      </w:r>
      <w:r>
        <w:tab/>
      </w:r>
      <w:r w:rsidRPr="00690FF9">
        <w:rPr>
          <w:rStyle w:val="EndnoteReference"/>
          <w:vertAlign w:val="baseline"/>
        </w:rPr>
        <w:t xml:space="preserve">Powe, NR. Reverse race and ethnic disparities in survival increase with severity of chronic kidney disease: What does this mean? </w:t>
      </w:r>
      <w:r w:rsidRPr="001B145D">
        <w:rPr>
          <w:rStyle w:val="EndnoteReference"/>
          <w:i/>
          <w:vertAlign w:val="baseline"/>
        </w:rPr>
        <w:t>Clin J Am Soc Nephrol</w:t>
      </w:r>
      <w:r w:rsidRPr="00690FF9">
        <w:rPr>
          <w:rStyle w:val="EndnoteReference"/>
          <w:vertAlign w:val="baseline"/>
        </w:rPr>
        <w:t xml:space="preserve"> </w:t>
      </w:r>
      <w:r>
        <w:rPr>
          <w:rStyle w:val="EndnoteReference"/>
          <w:vertAlign w:val="baseline"/>
        </w:rPr>
        <w:t>1</w:t>
      </w:r>
      <w:r w:rsidRPr="00690FF9">
        <w:rPr>
          <w:rStyle w:val="EndnoteReference"/>
          <w:vertAlign w:val="baseline"/>
        </w:rPr>
        <w:t>: 905</w:t>
      </w:r>
      <w:r>
        <w:rPr>
          <w:rStyle w:val="EndnoteReference"/>
          <w:vertAlign w:val="baseline"/>
        </w:rPr>
        <w:t>–</w:t>
      </w:r>
      <w:r w:rsidRPr="00690FF9">
        <w:rPr>
          <w:rStyle w:val="EndnoteReference"/>
          <w:vertAlign w:val="baseline"/>
        </w:rPr>
        <w:t>906, 2006</w:t>
      </w:r>
    </w:p>
  </w:endnote>
  <w:endnote w:id="9">
    <w:p w:rsidR="0098796A" w:rsidRDefault="0098796A">
      <w:pPr>
        <w:pStyle w:val="EndnoteText"/>
      </w:pPr>
      <w:r w:rsidRPr="00092245">
        <w:rPr>
          <w:rStyle w:val="EndnoteReference"/>
          <w:vertAlign w:val="baseline"/>
        </w:rPr>
        <w:endnoteRef/>
      </w:r>
      <w:r>
        <w:t xml:space="preserve"> </w:t>
      </w:r>
      <w:r>
        <w:tab/>
      </w:r>
      <w:r w:rsidRPr="00CA67AF">
        <w:t>Cowie CC, Port FK, Rust KF, Harris MI: Differences in survival between black and white patients with diabetic end</w:t>
      </w:r>
      <w:r>
        <w:t>-</w:t>
      </w:r>
      <w:r w:rsidRPr="00CA67AF">
        <w:t xml:space="preserve">stage renal disease. </w:t>
      </w:r>
      <w:r w:rsidRPr="004B231F">
        <w:rPr>
          <w:i/>
        </w:rPr>
        <w:t>Diabetes Care</w:t>
      </w:r>
      <w:r w:rsidRPr="00CA67AF">
        <w:t xml:space="preserve"> 17: 681</w:t>
      </w:r>
      <w:r>
        <w:t>–</w:t>
      </w:r>
      <w:r w:rsidRPr="00CA67AF">
        <w:t>687, 1994</w:t>
      </w:r>
    </w:p>
  </w:endnote>
  <w:endnote w:id="10">
    <w:p w:rsidR="0098796A" w:rsidRDefault="0098796A">
      <w:pPr>
        <w:pStyle w:val="EndnoteText"/>
      </w:pPr>
      <w:r w:rsidRPr="00202C16">
        <w:rPr>
          <w:rStyle w:val="EndnoteReference"/>
          <w:vertAlign w:val="baseline"/>
        </w:rPr>
        <w:endnoteRef/>
      </w:r>
      <w:r w:rsidRPr="00202C16">
        <w:t xml:space="preserve"> </w:t>
      </w:r>
      <w:r>
        <w:tab/>
        <w:t>Fiscella K, Franks P, Gold MR, Clancy CM: Inequality in quality: Addressing socioeconomic, racial, and ethnic disparities in health care. JAMA 283: 2579–84, 2000</w:t>
      </w:r>
    </w:p>
  </w:endnote>
  <w:endnote w:id="11">
    <w:p w:rsidR="0098796A" w:rsidRDefault="0098796A">
      <w:pPr>
        <w:pStyle w:val="EndnoteText"/>
      </w:pPr>
      <w:r w:rsidRPr="001D2813">
        <w:rPr>
          <w:rStyle w:val="EndnoteReference"/>
          <w:vertAlign w:val="baseline"/>
        </w:rPr>
        <w:endnoteRef/>
      </w:r>
      <w:r>
        <w:t xml:space="preserve"> </w:t>
      </w:r>
      <w:r>
        <w:tab/>
      </w:r>
      <w:r w:rsidRPr="007532FC">
        <w:t>Waikar S</w:t>
      </w:r>
      <w:r>
        <w:t>S</w:t>
      </w:r>
      <w:r w:rsidRPr="007532FC">
        <w:t>, Curhan G</w:t>
      </w:r>
      <w:r>
        <w:t>C</w:t>
      </w:r>
      <w:r w:rsidRPr="007532FC">
        <w:t>, Ayanian J</w:t>
      </w:r>
      <w:r>
        <w:t>Z</w:t>
      </w:r>
      <w:r w:rsidRPr="007532FC">
        <w:t>, Chertow G</w:t>
      </w:r>
      <w:r>
        <w:t>M</w:t>
      </w:r>
      <w:r w:rsidRPr="007532FC">
        <w:t xml:space="preserve">: Race and mortality after acute renal failure. </w:t>
      </w:r>
      <w:r w:rsidRPr="001D2813">
        <w:rPr>
          <w:i/>
        </w:rPr>
        <w:t>J Am Soc Nephrol</w:t>
      </w:r>
      <w:r w:rsidRPr="007532FC">
        <w:t xml:space="preserve"> 18: 2740–</w:t>
      </w:r>
      <w:r>
        <w:t>274</w:t>
      </w:r>
      <w:r w:rsidRPr="007532FC">
        <w:t>8, 2007</w:t>
      </w:r>
    </w:p>
  </w:endnote>
  <w:endnote w:id="12">
    <w:p w:rsidR="0098796A" w:rsidRPr="007532FC" w:rsidRDefault="0098796A" w:rsidP="00FB3729">
      <w:pPr>
        <w:pStyle w:val="EndnoteText"/>
      </w:pPr>
      <w:r w:rsidRPr="007532FC">
        <w:rPr>
          <w:rStyle w:val="EndnoteReference"/>
          <w:vertAlign w:val="baseline"/>
        </w:rPr>
        <w:endnoteRef/>
      </w:r>
      <w:r w:rsidRPr="007532FC">
        <w:t xml:space="preserve"> </w:t>
      </w:r>
      <w:r>
        <w:tab/>
      </w:r>
      <w:r w:rsidRPr="007532FC">
        <w:t>U.S. Renal Data System: USRDS 2012 annual data report: Atlas of chronic kidney disease and end</w:t>
      </w:r>
      <w:r>
        <w:t>-</w:t>
      </w:r>
      <w:r w:rsidRPr="007532FC">
        <w:t>stage renal disease in the United States. Bethesda, MD: National Institutes of Health, National Institute of Diabetes and Digestive and Kidney Diseases, 2013</w:t>
      </w:r>
    </w:p>
  </w:endnote>
  <w:endnote w:id="13">
    <w:p w:rsidR="0098796A" w:rsidRDefault="0098796A">
      <w:pPr>
        <w:pStyle w:val="EndnoteText"/>
      </w:pPr>
      <w:r w:rsidRPr="00E40A97">
        <w:rPr>
          <w:rStyle w:val="EndnoteReference"/>
          <w:vertAlign w:val="baseline"/>
        </w:rPr>
        <w:endnoteRef/>
      </w:r>
      <w:r>
        <w:t xml:space="preserve"> </w:t>
      </w:r>
      <w:r>
        <w:tab/>
      </w:r>
      <w:r w:rsidRPr="00690FF9">
        <w:rPr>
          <w:rStyle w:val="EndnoteReference"/>
          <w:rFonts w:hint="eastAsia"/>
          <w:vertAlign w:val="baseline"/>
        </w:rPr>
        <w:t>Freedman, BI. End</w:t>
      </w:r>
      <w:r>
        <w:rPr>
          <w:rStyle w:val="EndnoteReference"/>
          <w:vertAlign w:val="baseline"/>
        </w:rPr>
        <w:t>-</w:t>
      </w:r>
      <w:r w:rsidRPr="00690FF9">
        <w:rPr>
          <w:rStyle w:val="EndnoteReference"/>
          <w:rFonts w:hint="eastAsia"/>
          <w:vertAlign w:val="baseline"/>
        </w:rPr>
        <w:t xml:space="preserve">stage renal failure in African Americans: Insights in kidney disease susceptibility. </w:t>
      </w:r>
      <w:r w:rsidRPr="001B145D">
        <w:rPr>
          <w:rStyle w:val="EndnoteReference"/>
          <w:i/>
          <w:vertAlign w:val="baseline"/>
        </w:rPr>
        <w:t>Nephrol Dial Transplant</w:t>
      </w:r>
      <w:r w:rsidRPr="00690FF9">
        <w:rPr>
          <w:rStyle w:val="EndnoteReference"/>
          <w:rFonts w:hint="eastAsia"/>
          <w:vertAlign w:val="baseline"/>
        </w:rPr>
        <w:t xml:space="preserve"> 17: 198</w:t>
      </w:r>
      <w:r>
        <w:rPr>
          <w:rStyle w:val="EndnoteReference"/>
          <w:vertAlign w:val="baseline"/>
        </w:rPr>
        <w:t>–</w:t>
      </w:r>
      <w:r w:rsidRPr="00690FF9">
        <w:rPr>
          <w:rStyle w:val="EndnoteReference"/>
          <w:rFonts w:hint="eastAsia"/>
          <w:vertAlign w:val="baseline"/>
        </w:rPr>
        <w:t>200, 2002</w:t>
      </w:r>
    </w:p>
  </w:endnote>
  <w:endnote w:id="14">
    <w:p w:rsidR="0098796A" w:rsidRDefault="0098796A">
      <w:pPr>
        <w:pStyle w:val="EndnoteText"/>
      </w:pPr>
      <w:r w:rsidRPr="000D06D3">
        <w:rPr>
          <w:rStyle w:val="EndnoteReference"/>
          <w:vertAlign w:val="baseline"/>
        </w:rPr>
        <w:endnoteRef/>
      </w:r>
      <w:r>
        <w:t xml:space="preserve"> </w:t>
      </w:r>
      <w:r>
        <w:tab/>
      </w:r>
      <w:r w:rsidRPr="00690FF9">
        <w:rPr>
          <w:rStyle w:val="EndnoteReference"/>
          <w:vertAlign w:val="baseline"/>
        </w:rPr>
        <w:t>Freedman BI, Parekh</w:t>
      </w:r>
      <w:r>
        <w:rPr>
          <w:rStyle w:val="EndnoteReference"/>
          <w:vertAlign w:val="baseline"/>
        </w:rPr>
        <w:t xml:space="preserve"> RS</w:t>
      </w:r>
      <w:r w:rsidRPr="00690FF9">
        <w:rPr>
          <w:rStyle w:val="EndnoteReference"/>
          <w:vertAlign w:val="baseline"/>
        </w:rPr>
        <w:t>, Kao WHL. Genetic basis of nondiabetic end</w:t>
      </w:r>
      <w:r>
        <w:rPr>
          <w:rStyle w:val="EndnoteReference"/>
          <w:vertAlign w:val="baseline"/>
        </w:rPr>
        <w:t>-</w:t>
      </w:r>
      <w:r w:rsidRPr="00690FF9">
        <w:rPr>
          <w:rStyle w:val="EndnoteReference"/>
          <w:vertAlign w:val="baseline"/>
        </w:rPr>
        <w:t xml:space="preserve">stage renal disease. </w:t>
      </w:r>
      <w:r w:rsidRPr="001B145D">
        <w:rPr>
          <w:rStyle w:val="EndnoteReference"/>
          <w:i/>
          <w:vertAlign w:val="baseline"/>
        </w:rPr>
        <w:t xml:space="preserve">Semin Nephrol </w:t>
      </w:r>
      <w:r w:rsidRPr="00690FF9">
        <w:rPr>
          <w:rStyle w:val="EndnoteReference"/>
          <w:vertAlign w:val="baseline"/>
        </w:rPr>
        <w:t>30: 101</w:t>
      </w:r>
      <w:r>
        <w:rPr>
          <w:rStyle w:val="EndnoteReference"/>
          <w:vertAlign w:val="baseline"/>
        </w:rPr>
        <w:t>–</w:t>
      </w:r>
      <w:r w:rsidRPr="00690FF9">
        <w:rPr>
          <w:rStyle w:val="EndnoteReference"/>
          <w:vertAlign w:val="baseline"/>
        </w:rPr>
        <w:t>110, 2010</w:t>
      </w:r>
    </w:p>
  </w:endnote>
  <w:endnote w:id="15">
    <w:p w:rsidR="0098796A" w:rsidRDefault="0098796A">
      <w:pPr>
        <w:pStyle w:val="EndnoteText"/>
      </w:pPr>
      <w:r w:rsidRPr="00A548A1">
        <w:rPr>
          <w:rStyle w:val="EndnoteReference"/>
          <w:vertAlign w:val="baseline"/>
        </w:rPr>
        <w:endnoteRef/>
      </w:r>
      <w:r>
        <w:t xml:space="preserve"> </w:t>
      </w:r>
      <w:r>
        <w:tab/>
      </w:r>
      <w:r w:rsidRPr="001A5EE3">
        <w:rPr>
          <w:rStyle w:val="EndnoteReference"/>
          <w:vertAlign w:val="baseline"/>
        </w:rPr>
        <w:t xml:space="preserve">Crews DC, Sozio SM, Liu Y, Coresh J, Powe NR: Inflammation and the paradox of racial differences in dialysis survival. </w:t>
      </w:r>
      <w:r w:rsidRPr="006636FC">
        <w:rPr>
          <w:rStyle w:val="EndnoteReference"/>
          <w:i/>
          <w:vertAlign w:val="baseline"/>
        </w:rPr>
        <w:t>J Am Soc Nephrol</w:t>
      </w:r>
      <w:r w:rsidRPr="001A5EE3">
        <w:rPr>
          <w:rStyle w:val="EndnoteReference"/>
          <w:vertAlign w:val="baseline"/>
        </w:rPr>
        <w:t xml:space="preserve"> 22: 2279–2286, 2011</w:t>
      </w:r>
    </w:p>
  </w:endnote>
  <w:endnote w:id="16">
    <w:p w:rsidR="0098796A" w:rsidRPr="007532FC" w:rsidRDefault="0098796A" w:rsidP="003C0606">
      <w:pPr>
        <w:pStyle w:val="EndnoteText"/>
      </w:pPr>
      <w:r w:rsidRPr="001A5EE3">
        <w:rPr>
          <w:rStyle w:val="EndnoteReference"/>
          <w:vertAlign w:val="baseline"/>
        </w:rPr>
        <w:endnoteRef/>
      </w:r>
      <w:r w:rsidRPr="007532FC">
        <w:t xml:space="preserve"> </w:t>
      </w:r>
      <w:r>
        <w:tab/>
      </w:r>
      <w:r w:rsidRPr="007532FC">
        <w:rPr>
          <w:rStyle w:val="EndnoteReference"/>
          <w:vertAlign w:val="baseline"/>
        </w:rPr>
        <w:t>Ricks J, Molnar MZ, Kovesdy CP, Kopple JD, Norris KC, Mehrotra R, Nissenson AR, Arah OA, Greenland S, Kalantar</w:t>
      </w:r>
      <w:r>
        <w:rPr>
          <w:rStyle w:val="EndnoteReference"/>
          <w:vertAlign w:val="baseline"/>
        </w:rPr>
        <w:t>-</w:t>
      </w:r>
      <w:r w:rsidRPr="007532FC">
        <w:rPr>
          <w:rStyle w:val="EndnoteReference"/>
          <w:vertAlign w:val="baseline"/>
        </w:rPr>
        <w:t xml:space="preserve">Zadeh K: Racial and ethnic differences in the association of body mass index and survival in maintenance hemodialysis patients. </w:t>
      </w:r>
      <w:r w:rsidRPr="006636FC">
        <w:rPr>
          <w:rStyle w:val="EndnoteReference"/>
          <w:i/>
          <w:vertAlign w:val="baseline"/>
        </w:rPr>
        <w:t>Am J Kidney Dis</w:t>
      </w:r>
      <w:r w:rsidRPr="007532FC">
        <w:rPr>
          <w:rStyle w:val="EndnoteReference"/>
          <w:vertAlign w:val="baseline"/>
        </w:rPr>
        <w:t xml:space="preserve"> 58, 574–582, 2011</w:t>
      </w:r>
    </w:p>
  </w:endnote>
  <w:endnote w:id="17">
    <w:p w:rsidR="0098796A" w:rsidRPr="009E30B4" w:rsidRDefault="0098796A" w:rsidP="00A2454C">
      <w:pPr>
        <w:pStyle w:val="EndnoteText"/>
        <w:rPr>
          <w:rStyle w:val="EndnoteReference"/>
          <w:vertAlign w:val="baseline"/>
        </w:rPr>
      </w:pPr>
      <w:r w:rsidRPr="009F5348">
        <w:rPr>
          <w:rStyle w:val="EndnoteReference"/>
          <w:vertAlign w:val="baseline"/>
        </w:rPr>
        <w:endnoteRef/>
      </w:r>
      <w:r>
        <w:t xml:space="preserve"> </w:t>
      </w:r>
      <w:r>
        <w:tab/>
      </w:r>
      <w:r w:rsidRPr="009E30B4">
        <w:rPr>
          <w:rStyle w:val="EndnoteReference"/>
          <w:vertAlign w:val="baseline"/>
        </w:rPr>
        <w:t xml:space="preserve">Johns TS, Estrella MM, Crews DC, Appel LJ, Anderson CAM, Ephraim PL, Cook C, Boulware LE: Neighborhood socioeconomic status, race, and mortality in young adult dialysis patients. </w:t>
      </w:r>
      <w:r w:rsidRPr="00367F91">
        <w:rPr>
          <w:rStyle w:val="EndnoteReference"/>
          <w:i/>
          <w:vertAlign w:val="baseline"/>
        </w:rPr>
        <w:t>J Am Soc Nephrol</w:t>
      </w:r>
      <w:r w:rsidRPr="009E30B4">
        <w:rPr>
          <w:rStyle w:val="EndnoteReference"/>
          <w:vertAlign w:val="baseline"/>
        </w:rPr>
        <w:t xml:space="preserve"> 25: 2649–2657, 2014</w:t>
      </w:r>
    </w:p>
  </w:endnote>
  <w:endnote w:id="18">
    <w:p w:rsidR="0098796A" w:rsidRDefault="0098796A">
      <w:pPr>
        <w:pStyle w:val="EndnoteText"/>
      </w:pPr>
      <w:r w:rsidRPr="00575181">
        <w:rPr>
          <w:rStyle w:val="EndnoteReference"/>
          <w:vertAlign w:val="baseline"/>
        </w:rPr>
        <w:endnoteRef/>
      </w:r>
      <w:r>
        <w:t xml:space="preserve"> </w:t>
      </w:r>
      <w:r>
        <w:tab/>
      </w:r>
      <w:r w:rsidRPr="00B04F0F">
        <w:t xml:space="preserve">Volkova N, McClellan W, Klein M, Flanders D, Kleinbaum D, Soucie JM, </w:t>
      </w:r>
      <w:r>
        <w:t>Presley R:</w:t>
      </w:r>
      <w:r w:rsidRPr="00B04F0F">
        <w:t xml:space="preserve"> Neighborhood Poverty and Racial Differences in ESRD Incidence. </w:t>
      </w:r>
      <w:r w:rsidRPr="00367F91">
        <w:rPr>
          <w:i/>
        </w:rPr>
        <w:t>J Am Soc Nephrol</w:t>
      </w:r>
      <w:r>
        <w:t xml:space="preserve"> </w:t>
      </w:r>
      <w:r w:rsidRPr="00B04F0F">
        <w:t>19:</w:t>
      </w:r>
      <w:r>
        <w:t xml:space="preserve"> </w:t>
      </w:r>
      <w:r w:rsidRPr="00B04F0F">
        <w:t>356</w:t>
      </w:r>
      <w:r>
        <w:t>–3</w:t>
      </w:r>
      <w:r w:rsidRPr="00B04F0F">
        <w:t>64</w:t>
      </w:r>
      <w:r>
        <w:t xml:space="preserve">, </w:t>
      </w:r>
      <w:r w:rsidRPr="00B04F0F">
        <w:t>2008</w:t>
      </w:r>
    </w:p>
  </w:endnote>
  <w:endnote w:id="19">
    <w:p w:rsidR="0098796A" w:rsidRDefault="0098796A" w:rsidP="00AB4DE1">
      <w:pPr>
        <w:pStyle w:val="EndnoteText"/>
      </w:pPr>
      <w:r w:rsidRPr="00AB4DE1">
        <w:rPr>
          <w:rStyle w:val="EndnoteReference"/>
          <w:vertAlign w:val="baseline"/>
        </w:rPr>
        <w:endnoteRef/>
      </w:r>
      <w:r>
        <w:t xml:space="preserve"> </w:t>
      </w:r>
      <w:r>
        <w:tab/>
      </w:r>
      <w:r w:rsidRPr="00CA67AF">
        <w:t xml:space="preserve">Trivedi AN, Zaslavsky AM, Schneider EC, Ayanian JZ: Trends in the quality of care and racial disparities in Medicare managed care. </w:t>
      </w:r>
      <w:r w:rsidRPr="0042563E">
        <w:rPr>
          <w:i/>
        </w:rPr>
        <w:t>N Engl J Med</w:t>
      </w:r>
      <w:r w:rsidRPr="00CA67AF">
        <w:t xml:space="preserve"> 353: 692</w:t>
      </w:r>
      <w:r>
        <w:t>–</w:t>
      </w:r>
      <w:r w:rsidRPr="00CA67AF">
        <w:t>700, 2005</w:t>
      </w:r>
    </w:p>
  </w:endnote>
  <w:endnote w:id="20">
    <w:p w:rsidR="0098796A" w:rsidRPr="00CA67AF" w:rsidRDefault="0098796A" w:rsidP="007532FC">
      <w:pPr>
        <w:pStyle w:val="EndnoteText"/>
      </w:pPr>
      <w:r w:rsidRPr="003E1196">
        <w:rPr>
          <w:rStyle w:val="EndnoteReference"/>
          <w:vertAlign w:val="baseline"/>
        </w:rPr>
        <w:endnoteRef/>
      </w:r>
      <w:r w:rsidRPr="00CA67AF">
        <w:t xml:space="preserve"> </w:t>
      </w:r>
      <w:r>
        <w:tab/>
      </w:r>
      <w:r w:rsidRPr="00CA67AF">
        <w:t xml:space="preserve">Williams DR: Race, socioeconomic status, and health: The added effects of racism and discrimination. </w:t>
      </w:r>
      <w:r w:rsidRPr="005F6077">
        <w:rPr>
          <w:i/>
        </w:rPr>
        <w:t>Ann N Y Acad Sci</w:t>
      </w:r>
      <w:r w:rsidRPr="00CA67AF">
        <w:t xml:space="preserve"> 896:</w:t>
      </w:r>
      <w:r>
        <w:t xml:space="preserve"> </w:t>
      </w:r>
      <w:r w:rsidRPr="00CA67AF">
        <w:t>173–188, 1999</w:t>
      </w:r>
    </w:p>
  </w:endnote>
  <w:endnote w:id="21">
    <w:p w:rsidR="0098796A" w:rsidRPr="00CA67AF" w:rsidRDefault="0098796A" w:rsidP="00FE61D8">
      <w:pPr>
        <w:pStyle w:val="EndnoteText"/>
      </w:pPr>
      <w:r w:rsidRPr="003E1196">
        <w:rPr>
          <w:rStyle w:val="EndnoteReference"/>
          <w:vertAlign w:val="baseline"/>
        </w:rPr>
        <w:endnoteRef/>
      </w:r>
      <w:r w:rsidRPr="00CA67AF">
        <w:t xml:space="preserve"> </w:t>
      </w:r>
      <w:r>
        <w:tab/>
      </w:r>
      <w:r w:rsidRPr="00CA67AF">
        <w:t>Perneger TV, Whelton PK, Klag MJ: Race and end-stage renal disease</w:t>
      </w:r>
      <w:r>
        <w:t>. S</w:t>
      </w:r>
      <w:r w:rsidRPr="00CA67AF">
        <w:t xml:space="preserve">ocioeconomic status and access to health care as mediating factors. </w:t>
      </w:r>
      <w:r w:rsidRPr="00BD7C21">
        <w:rPr>
          <w:i/>
        </w:rPr>
        <w:t>Arch Intern Med</w:t>
      </w:r>
      <w:r w:rsidRPr="00CA67AF">
        <w:t xml:space="preserve"> 155:</w:t>
      </w:r>
      <w:r>
        <w:t xml:space="preserve"> </w:t>
      </w:r>
      <w:r w:rsidRPr="00CA67AF">
        <w:t>1201</w:t>
      </w:r>
      <w:r>
        <w:t>–</w:t>
      </w:r>
      <w:r w:rsidRPr="00CA67AF">
        <w:t>1208, 1995</w:t>
      </w:r>
    </w:p>
  </w:endnote>
  <w:endnote w:id="22">
    <w:p w:rsidR="0098796A" w:rsidRDefault="0098796A" w:rsidP="00CA20E8">
      <w:pPr>
        <w:pStyle w:val="EndnoteText"/>
      </w:pPr>
      <w:r w:rsidRPr="00F85306">
        <w:rPr>
          <w:rStyle w:val="EndnoteReference"/>
          <w:vertAlign w:val="baseline"/>
        </w:rPr>
        <w:endnoteRef/>
      </w:r>
      <w:r>
        <w:t xml:space="preserve"> </w:t>
      </w:r>
      <w:r>
        <w:tab/>
      </w:r>
      <w:r w:rsidRPr="009D10A7">
        <w:t>Kalbfleisch JD, Wolfe RA: On monitoring outcomes of medi</w:t>
      </w:r>
      <w:r w:rsidRPr="00FA615B">
        <w:t xml:space="preserve">cal providers. </w:t>
      </w:r>
      <w:r w:rsidRPr="004D1233">
        <w:rPr>
          <w:i/>
        </w:rPr>
        <w:t>Stat Biosci</w:t>
      </w:r>
      <w:r w:rsidRPr="009D10A7">
        <w:t xml:space="preserve"> 5:</w:t>
      </w:r>
      <w:r>
        <w:t xml:space="preserve"> </w:t>
      </w:r>
      <w:r w:rsidRPr="009D10A7">
        <w:t>286–302, 2013</w:t>
      </w:r>
    </w:p>
  </w:endnote>
  <w:endnote w:id="23">
    <w:p w:rsidR="0098796A" w:rsidRDefault="0098796A">
      <w:pPr>
        <w:pStyle w:val="EndnoteText"/>
      </w:pPr>
      <w:r w:rsidRPr="008822D4">
        <w:rPr>
          <w:rStyle w:val="EndnoteReference"/>
          <w:vertAlign w:val="baseline"/>
        </w:rPr>
        <w:endnoteRef/>
      </w:r>
      <w:r>
        <w:t xml:space="preserve"> </w:t>
      </w:r>
      <w:r>
        <w:tab/>
      </w:r>
      <w:r w:rsidRPr="007532FC">
        <w:t>Spiegel B, Bolus R, Desai AA, Zagar P, Parker T, Moran J, Solomon MD, Khawar O, Gitlin M, Talley J, Nissenson A: Dialysis practices that distinguish facilities with below</w:t>
      </w:r>
      <w:r>
        <w:t>-</w:t>
      </w:r>
      <w:r w:rsidRPr="007532FC">
        <w:t xml:space="preserve"> versus above</w:t>
      </w:r>
      <w:r>
        <w:t>-</w:t>
      </w:r>
      <w:r w:rsidRPr="007532FC">
        <w:t xml:space="preserve">expected mortality. </w:t>
      </w:r>
      <w:r w:rsidRPr="00427497">
        <w:rPr>
          <w:i/>
        </w:rPr>
        <w:t>Clin J Am Soc Nephrol</w:t>
      </w:r>
      <w:r w:rsidRPr="007532FC">
        <w:t xml:space="preserve"> 5: 2024</w:t>
      </w:r>
      <w:r>
        <w:t>–</w:t>
      </w:r>
      <w:r w:rsidRPr="007532FC">
        <w:t>2033, 2010</w:t>
      </w:r>
    </w:p>
  </w:endnote>
  <w:endnote w:id="24">
    <w:p w:rsidR="0098796A" w:rsidRDefault="0098796A">
      <w:pPr>
        <w:pStyle w:val="EndnoteText"/>
      </w:pPr>
      <w:r w:rsidRPr="00A20021">
        <w:rPr>
          <w:rStyle w:val="EndnoteReference"/>
          <w:vertAlign w:val="baseline"/>
        </w:rPr>
        <w:endnoteRef/>
      </w:r>
      <w:r>
        <w:t xml:space="preserve"> </w:t>
      </w:r>
      <w:r>
        <w:tab/>
      </w:r>
      <w:r w:rsidRPr="00CA67AF">
        <w:t>Lacson E Jr, Teng M, Lazarus JM, Lew N, Lowrie E, Owen W</w:t>
      </w:r>
      <w:r>
        <w:t>:</w:t>
      </w:r>
      <w:r w:rsidRPr="00CA67AF">
        <w:t xml:space="preserve"> Limitations of the facility-specific standardized mortality ratio for profiling health care quality in dialysis. </w:t>
      </w:r>
      <w:r w:rsidRPr="00C26DB5">
        <w:rPr>
          <w:i/>
        </w:rPr>
        <w:t>Am J Kidney Dis</w:t>
      </w:r>
      <w:r w:rsidRPr="00CA67AF">
        <w:t xml:space="preserve"> 37:</w:t>
      </w:r>
      <w:r>
        <w:t xml:space="preserve"> </w:t>
      </w:r>
      <w:r w:rsidRPr="00CA67AF">
        <w:t>267</w:t>
      </w:r>
      <w:r>
        <w:t>–</w:t>
      </w:r>
      <w:r w:rsidRPr="00CA67AF">
        <w:t>275, 2001</w:t>
      </w:r>
    </w:p>
  </w:endnote>
  <w:endnote w:id="25">
    <w:p w:rsidR="0098796A" w:rsidRDefault="0098796A">
      <w:pPr>
        <w:pStyle w:val="EndnoteText"/>
      </w:pPr>
      <w:r w:rsidRPr="00D668DC">
        <w:rPr>
          <w:rStyle w:val="EndnoteReference"/>
          <w:vertAlign w:val="baseline"/>
        </w:rPr>
        <w:endnoteRef/>
      </w:r>
      <w:r>
        <w:t xml:space="preserve"> </w:t>
      </w:r>
      <w:r>
        <w:tab/>
      </w:r>
      <w:r w:rsidRPr="00CA67AF">
        <w:t xml:space="preserve">Wolfe RA, Held PJ, Port FK: Letter to the Editor: Calculation and public use of the unit-specific standardized mortality ratio. </w:t>
      </w:r>
      <w:r w:rsidRPr="00C62456">
        <w:rPr>
          <w:i/>
        </w:rPr>
        <w:t>Am J Kidney Dis</w:t>
      </w:r>
      <w:r w:rsidRPr="00CA67AF">
        <w:t xml:space="preserve"> 38</w:t>
      </w:r>
      <w:r>
        <w:t>:</w:t>
      </w:r>
      <w:r w:rsidRPr="00CA67AF">
        <w:t xml:space="preserve"> 212</w:t>
      </w:r>
      <w:r>
        <w:t>–</w:t>
      </w:r>
      <w:r w:rsidRPr="00CA67AF">
        <w:t>224</w:t>
      </w:r>
      <w:r>
        <w:t xml:space="preserve">, </w:t>
      </w:r>
      <w:r w:rsidRPr="00CA67AF">
        <w:t>2001</w:t>
      </w:r>
    </w:p>
    <w:p w:rsidR="0098796A" w:rsidRDefault="0098796A">
      <w:pPr>
        <w:pStyle w:val="EndnoteText"/>
      </w:pPr>
      <w:r>
        <w:t>25</w:t>
      </w:r>
      <w:r>
        <w:tab/>
      </w:r>
      <w:r w:rsidRPr="007978BD">
        <w:rPr>
          <w:spacing w:val="-6"/>
        </w:rPr>
        <w:t xml:space="preserve">Social Explorer. American Community Survey (ACS) 2007-2011 (5-Year Estimates) [Data file]. </w:t>
      </w:r>
      <w:r>
        <w:t>Available at:</w:t>
      </w:r>
      <w:r w:rsidRPr="007978BD">
        <w:rPr>
          <w:spacing w:val="-6"/>
        </w:rPr>
        <w:t xml:space="preserve"> http://www.socialexplorer.com/explore/tables. Accessed September 1, 2014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025714"/>
      <w:docPartObj>
        <w:docPartGallery w:val="Page Numbers (Bottom of Page)"/>
        <w:docPartUnique/>
      </w:docPartObj>
    </w:sdtPr>
    <w:sdtEndPr>
      <w:rPr>
        <w:noProof/>
      </w:rPr>
    </w:sdtEndPr>
    <w:sdtContent>
      <w:p w:rsidR="0098796A" w:rsidRDefault="0098796A">
        <w:pPr>
          <w:pStyle w:val="Footer"/>
          <w:jc w:val="center"/>
        </w:pPr>
        <w:r>
          <w:fldChar w:fldCharType="begin"/>
        </w:r>
        <w:r>
          <w:instrText xml:space="preserve"> PAGE   \* MERGEFORMAT </w:instrText>
        </w:r>
        <w:r>
          <w:fldChar w:fldCharType="separate"/>
        </w:r>
        <w:r w:rsidR="00FF1A3E">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2464412"/>
      <w:docPartObj>
        <w:docPartGallery w:val="Page Numbers (Bottom of Page)"/>
        <w:docPartUnique/>
      </w:docPartObj>
    </w:sdtPr>
    <w:sdtEndPr>
      <w:rPr>
        <w:noProof/>
      </w:rPr>
    </w:sdtEndPr>
    <w:sdtContent>
      <w:p w:rsidR="0098796A" w:rsidRDefault="0098796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695532"/>
      <w:docPartObj>
        <w:docPartGallery w:val="Page Numbers (Bottom of Page)"/>
        <w:docPartUnique/>
      </w:docPartObj>
    </w:sdtPr>
    <w:sdtEndPr>
      <w:rPr>
        <w:noProof/>
      </w:rPr>
    </w:sdtEndPr>
    <w:sdtContent>
      <w:p w:rsidR="0098796A" w:rsidRDefault="0098796A">
        <w:pPr>
          <w:pStyle w:val="Footer"/>
          <w:jc w:val="center"/>
        </w:pPr>
        <w:r>
          <w:fldChar w:fldCharType="begin"/>
        </w:r>
        <w:r>
          <w:instrText xml:space="preserve"> PAGE   \* MERGEFORMAT </w:instrText>
        </w:r>
        <w:r>
          <w:fldChar w:fldCharType="separate"/>
        </w:r>
        <w:r w:rsidR="000E7240">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13B8" w:rsidRDefault="001C13B8" w:rsidP="003267A0">
      <w:pPr>
        <w:spacing w:after="0" w:line="240" w:lineRule="auto"/>
      </w:pPr>
      <w:r>
        <w:separator/>
      </w:r>
    </w:p>
  </w:footnote>
  <w:footnote w:type="continuationSeparator" w:id="0">
    <w:p w:rsidR="001C13B8" w:rsidRDefault="001C13B8" w:rsidP="003267A0">
      <w:pPr>
        <w:spacing w:after="0" w:line="240" w:lineRule="auto"/>
      </w:pPr>
      <w:r>
        <w:continuationSeparator/>
      </w:r>
    </w:p>
  </w:footnote>
  <w:footnote w:type="continuationNotice" w:id="1">
    <w:p w:rsidR="001C13B8" w:rsidRDefault="001C13B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86CB4C2"/>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822BD5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A5FAFEB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81481AA0"/>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FE14D06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D12BEC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D5AE3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D74118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7B0508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A127F26"/>
    <w:lvl w:ilvl="0">
      <w:start w:val="1"/>
      <w:numFmt w:val="bullet"/>
      <w:lvlText w:val=""/>
      <w:lvlJc w:val="left"/>
      <w:pPr>
        <w:tabs>
          <w:tab w:val="num" w:pos="360"/>
        </w:tabs>
        <w:ind w:left="360" w:hanging="360"/>
      </w:pPr>
      <w:rPr>
        <w:rFonts w:ascii="Symbol" w:hAnsi="Symbol" w:hint="default"/>
      </w:rPr>
    </w:lvl>
  </w:abstractNum>
  <w:abstractNum w:abstractNumId="10">
    <w:nsid w:val="2B2D0E2E"/>
    <w:multiLevelType w:val="hybridMultilevel"/>
    <w:tmpl w:val="03D2E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6C0A57"/>
    <w:multiLevelType w:val="multilevel"/>
    <w:tmpl w:val="D6B45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C8231DA"/>
    <w:multiLevelType w:val="hybridMultilevel"/>
    <w:tmpl w:val="10C4A5D4"/>
    <w:lvl w:ilvl="0" w:tplc="4918956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11F79D1"/>
    <w:multiLevelType w:val="hybridMultilevel"/>
    <w:tmpl w:val="0F381418"/>
    <w:lvl w:ilvl="0" w:tplc="5E50B108">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4">
    <w:nsid w:val="59DB7AF6"/>
    <w:multiLevelType w:val="hybridMultilevel"/>
    <w:tmpl w:val="F3663CDC"/>
    <w:lvl w:ilvl="0" w:tplc="333838BE">
      <w:start w:val="1"/>
      <w:numFmt w:val="bullet"/>
      <w:lvlText w:val="•"/>
      <w:lvlJc w:val="left"/>
      <w:pPr>
        <w:tabs>
          <w:tab w:val="num" w:pos="720"/>
        </w:tabs>
        <w:ind w:left="720" w:hanging="360"/>
      </w:pPr>
      <w:rPr>
        <w:rFonts w:ascii="Times New Roman" w:hAnsi="Times New Roman" w:hint="default"/>
      </w:rPr>
    </w:lvl>
    <w:lvl w:ilvl="1" w:tplc="20363ADA">
      <w:start w:val="1"/>
      <w:numFmt w:val="bullet"/>
      <w:lvlText w:val="•"/>
      <w:lvlJc w:val="left"/>
      <w:pPr>
        <w:tabs>
          <w:tab w:val="num" w:pos="1440"/>
        </w:tabs>
        <w:ind w:left="1440" w:hanging="360"/>
      </w:pPr>
      <w:rPr>
        <w:rFonts w:ascii="Times New Roman" w:hAnsi="Times New Roman" w:hint="default"/>
      </w:rPr>
    </w:lvl>
    <w:lvl w:ilvl="2" w:tplc="2984F77C" w:tentative="1">
      <w:start w:val="1"/>
      <w:numFmt w:val="bullet"/>
      <w:lvlText w:val="•"/>
      <w:lvlJc w:val="left"/>
      <w:pPr>
        <w:tabs>
          <w:tab w:val="num" w:pos="2160"/>
        </w:tabs>
        <w:ind w:left="2160" w:hanging="360"/>
      </w:pPr>
      <w:rPr>
        <w:rFonts w:ascii="Times New Roman" w:hAnsi="Times New Roman" w:hint="default"/>
      </w:rPr>
    </w:lvl>
    <w:lvl w:ilvl="3" w:tplc="F8E2C030" w:tentative="1">
      <w:start w:val="1"/>
      <w:numFmt w:val="bullet"/>
      <w:lvlText w:val="•"/>
      <w:lvlJc w:val="left"/>
      <w:pPr>
        <w:tabs>
          <w:tab w:val="num" w:pos="2880"/>
        </w:tabs>
        <w:ind w:left="2880" w:hanging="360"/>
      </w:pPr>
      <w:rPr>
        <w:rFonts w:ascii="Times New Roman" w:hAnsi="Times New Roman" w:hint="default"/>
      </w:rPr>
    </w:lvl>
    <w:lvl w:ilvl="4" w:tplc="66367A68" w:tentative="1">
      <w:start w:val="1"/>
      <w:numFmt w:val="bullet"/>
      <w:lvlText w:val="•"/>
      <w:lvlJc w:val="left"/>
      <w:pPr>
        <w:tabs>
          <w:tab w:val="num" w:pos="3600"/>
        </w:tabs>
        <w:ind w:left="3600" w:hanging="360"/>
      </w:pPr>
      <w:rPr>
        <w:rFonts w:ascii="Times New Roman" w:hAnsi="Times New Roman" w:hint="default"/>
      </w:rPr>
    </w:lvl>
    <w:lvl w:ilvl="5" w:tplc="435231E0" w:tentative="1">
      <w:start w:val="1"/>
      <w:numFmt w:val="bullet"/>
      <w:lvlText w:val="•"/>
      <w:lvlJc w:val="left"/>
      <w:pPr>
        <w:tabs>
          <w:tab w:val="num" w:pos="4320"/>
        </w:tabs>
        <w:ind w:left="4320" w:hanging="360"/>
      </w:pPr>
      <w:rPr>
        <w:rFonts w:ascii="Times New Roman" w:hAnsi="Times New Roman" w:hint="default"/>
      </w:rPr>
    </w:lvl>
    <w:lvl w:ilvl="6" w:tplc="D56ACCE2" w:tentative="1">
      <w:start w:val="1"/>
      <w:numFmt w:val="bullet"/>
      <w:lvlText w:val="•"/>
      <w:lvlJc w:val="left"/>
      <w:pPr>
        <w:tabs>
          <w:tab w:val="num" w:pos="5040"/>
        </w:tabs>
        <w:ind w:left="5040" w:hanging="360"/>
      </w:pPr>
      <w:rPr>
        <w:rFonts w:ascii="Times New Roman" w:hAnsi="Times New Roman" w:hint="default"/>
      </w:rPr>
    </w:lvl>
    <w:lvl w:ilvl="7" w:tplc="915CDFC6" w:tentative="1">
      <w:start w:val="1"/>
      <w:numFmt w:val="bullet"/>
      <w:lvlText w:val="•"/>
      <w:lvlJc w:val="left"/>
      <w:pPr>
        <w:tabs>
          <w:tab w:val="num" w:pos="5760"/>
        </w:tabs>
        <w:ind w:left="5760" w:hanging="360"/>
      </w:pPr>
      <w:rPr>
        <w:rFonts w:ascii="Times New Roman" w:hAnsi="Times New Roman" w:hint="default"/>
      </w:rPr>
    </w:lvl>
    <w:lvl w:ilvl="8" w:tplc="69EA901C"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BEF3634"/>
    <w:multiLevelType w:val="hybridMultilevel"/>
    <w:tmpl w:val="169CC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7758FF"/>
    <w:multiLevelType w:val="hybridMultilevel"/>
    <w:tmpl w:val="A59A9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DAE7DBA"/>
    <w:multiLevelType w:val="hybridMultilevel"/>
    <w:tmpl w:val="10C4A5D4"/>
    <w:lvl w:ilvl="0" w:tplc="4918956A">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2"/>
  </w:num>
  <w:num w:numId="2">
    <w:abstractNumId w:val="14"/>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3"/>
  </w:num>
  <w:num w:numId="15">
    <w:abstractNumId w:val="16"/>
  </w:num>
  <w:num w:numId="16">
    <w:abstractNumId w:val="10"/>
  </w:num>
  <w:num w:numId="17">
    <w:abstractNumId w:val="11"/>
  </w:num>
  <w:num w:numId="18">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
    <w15:presenceInfo w15:providerId="None" w15:userId="S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SortMethod w:val="0000"/>
  <w:defaultTabStop w:val="720"/>
  <w:characterSpacingControl w:val="doNotCompress"/>
  <w:hdrShapeDefaults>
    <o:shapedefaults v:ext="edit" spidmax="2049"/>
  </w:hdrShapeDefaults>
  <w:footnotePr>
    <w:footnote w:id="-1"/>
    <w:footnote w:id="0"/>
    <w:footnote w:id="1"/>
  </w:footnotePr>
  <w:endnotePr>
    <w:pos w:val="sectEnd"/>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52A"/>
    <w:rsid w:val="00000521"/>
    <w:rsid w:val="00003E00"/>
    <w:rsid w:val="000040C4"/>
    <w:rsid w:val="00005144"/>
    <w:rsid w:val="000051A0"/>
    <w:rsid w:val="00007442"/>
    <w:rsid w:val="0000778D"/>
    <w:rsid w:val="00010530"/>
    <w:rsid w:val="00011766"/>
    <w:rsid w:val="00011AC3"/>
    <w:rsid w:val="0001412B"/>
    <w:rsid w:val="0001415E"/>
    <w:rsid w:val="000148BD"/>
    <w:rsid w:val="00016418"/>
    <w:rsid w:val="00016A35"/>
    <w:rsid w:val="00016E01"/>
    <w:rsid w:val="00016EC2"/>
    <w:rsid w:val="00021BF6"/>
    <w:rsid w:val="000227EC"/>
    <w:rsid w:val="0002325B"/>
    <w:rsid w:val="0002514D"/>
    <w:rsid w:val="00025218"/>
    <w:rsid w:val="00025293"/>
    <w:rsid w:val="00026718"/>
    <w:rsid w:val="00030887"/>
    <w:rsid w:val="00032709"/>
    <w:rsid w:val="00033949"/>
    <w:rsid w:val="00034D7A"/>
    <w:rsid w:val="000350B2"/>
    <w:rsid w:val="000351B7"/>
    <w:rsid w:val="00036392"/>
    <w:rsid w:val="00036D59"/>
    <w:rsid w:val="0003769C"/>
    <w:rsid w:val="00037E30"/>
    <w:rsid w:val="00040B1C"/>
    <w:rsid w:val="0004122E"/>
    <w:rsid w:val="0004311F"/>
    <w:rsid w:val="000445C2"/>
    <w:rsid w:val="00044A30"/>
    <w:rsid w:val="000460E2"/>
    <w:rsid w:val="00052357"/>
    <w:rsid w:val="00053726"/>
    <w:rsid w:val="00055227"/>
    <w:rsid w:val="0005522D"/>
    <w:rsid w:val="00055400"/>
    <w:rsid w:val="000555A9"/>
    <w:rsid w:val="000566A3"/>
    <w:rsid w:val="00057412"/>
    <w:rsid w:val="00057745"/>
    <w:rsid w:val="00057A1E"/>
    <w:rsid w:val="00061389"/>
    <w:rsid w:val="00061CAD"/>
    <w:rsid w:val="00062CA4"/>
    <w:rsid w:val="00063FE2"/>
    <w:rsid w:val="00066BA3"/>
    <w:rsid w:val="000671B4"/>
    <w:rsid w:val="00072388"/>
    <w:rsid w:val="00076ABA"/>
    <w:rsid w:val="00077498"/>
    <w:rsid w:val="000775C9"/>
    <w:rsid w:val="0008062C"/>
    <w:rsid w:val="00081296"/>
    <w:rsid w:val="000812B8"/>
    <w:rsid w:val="0008263C"/>
    <w:rsid w:val="00082BC0"/>
    <w:rsid w:val="000834B3"/>
    <w:rsid w:val="00084FD8"/>
    <w:rsid w:val="00087BC7"/>
    <w:rsid w:val="00090CB2"/>
    <w:rsid w:val="00092245"/>
    <w:rsid w:val="00092B31"/>
    <w:rsid w:val="00093249"/>
    <w:rsid w:val="00093747"/>
    <w:rsid w:val="000964C6"/>
    <w:rsid w:val="00096F7E"/>
    <w:rsid w:val="000A04D5"/>
    <w:rsid w:val="000A23EA"/>
    <w:rsid w:val="000A2C2B"/>
    <w:rsid w:val="000A48EC"/>
    <w:rsid w:val="000B16D5"/>
    <w:rsid w:val="000B194C"/>
    <w:rsid w:val="000B23D6"/>
    <w:rsid w:val="000B2727"/>
    <w:rsid w:val="000B302C"/>
    <w:rsid w:val="000B4835"/>
    <w:rsid w:val="000B4A73"/>
    <w:rsid w:val="000B4B70"/>
    <w:rsid w:val="000B5FC0"/>
    <w:rsid w:val="000B6095"/>
    <w:rsid w:val="000B7897"/>
    <w:rsid w:val="000C04CC"/>
    <w:rsid w:val="000C179D"/>
    <w:rsid w:val="000C1D0E"/>
    <w:rsid w:val="000C1D3B"/>
    <w:rsid w:val="000C20A6"/>
    <w:rsid w:val="000C23FA"/>
    <w:rsid w:val="000C2893"/>
    <w:rsid w:val="000C45F6"/>
    <w:rsid w:val="000C4A36"/>
    <w:rsid w:val="000C5481"/>
    <w:rsid w:val="000C5CB9"/>
    <w:rsid w:val="000C6ABE"/>
    <w:rsid w:val="000D0583"/>
    <w:rsid w:val="000D06D3"/>
    <w:rsid w:val="000D0720"/>
    <w:rsid w:val="000D0CC4"/>
    <w:rsid w:val="000D7B37"/>
    <w:rsid w:val="000E07BF"/>
    <w:rsid w:val="000E0A0E"/>
    <w:rsid w:val="000E0F39"/>
    <w:rsid w:val="000E13CB"/>
    <w:rsid w:val="000E1FDC"/>
    <w:rsid w:val="000E4445"/>
    <w:rsid w:val="000E4B75"/>
    <w:rsid w:val="000E4DE5"/>
    <w:rsid w:val="000E5647"/>
    <w:rsid w:val="000E5E49"/>
    <w:rsid w:val="000E6549"/>
    <w:rsid w:val="000E7240"/>
    <w:rsid w:val="000F12F5"/>
    <w:rsid w:val="000F148D"/>
    <w:rsid w:val="000F2124"/>
    <w:rsid w:val="000F3022"/>
    <w:rsid w:val="000F5577"/>
    <w:rsid w:val="000F5E6E"/>
    <w:rsid w:val="000F6A7F"/>
    <w:rsid w:val="000F735C"/>
    <w:rsid w:val="0010179F"/>
    <w:rsid w:val="001034AB"/>
    <w:rsid w:val="00103587"/>
    <w:rsid w:val="00103EE2"/>
    <w:rsid w:val="001053F4"/>
    <w:rsid w:val="00106B54"/>
    <w:rsid w:val="001106F1"/>
    <w:rsid w:val="001142E5"/>
    <w:rsid w:val="001210C6"/>
    <w:rsid w:val="00121977"/>
    <w:rsid w:val="00121F4E"/>
    <w:rsid w:val="00122642"/>
    <w:rsid w:val="0012328D"/>
    <w:rsid w:val="001258B9"/>
    <w:rsid w:val="00126C00"/>
    <w:rsid w:val="00127F03"/>
    <w:rsid w:val="00131002"/>
    <w:rsid w:val="00131945"/>
    <w:rsid w:val="00133998"/>
    <w:rsid w:val="00133DED"/>
    <w:rsid w:val="00135A2F"/>
    <w:rsid w:val="0013652F"/>
    <w:rsid w:val="001375B0"/>
    <w:rsid w:val="00143F4F"/>
    <w:rsid w:val="0014498A"/>
    <w:rsid w:val="00145199"/>
    <w:rsid w:val="00145B4D"/>
    <w:rsid w:val="001473B0"/>
    <w:rsid w:val="0014749E"/>
    <w:rsid w:val="00147BB5"/>
    <w:rsid w:val="00147CBB"/>
    <w:rsid w:val="00151256"/>
    <w:rsid w:val="00151B2C"/>
    <w:rsid w:val="00152989"/>
    <w:rsid w:val="001546F4"/>
    <w:rsid w:val="00155A02"/>
    <w:rsid w:val="00155BDE"/>
    <w:rsid w:val="001563AF"/>
    <w:rsid w:val="00156AF1"/>
    <w:rsid w:val="001618C8"/>
    <w:rsid w:val="00162E77"/>
    <w:rsid w:val="00163E9A"/>
    <w:rsid w:val="001647D0"/>
    <w:rsid w:val="00165868"/>
    <w:rsid w:val="00166537"/>
    <w:rsid w:val="00166B06"/>
    <w:rsid w:val="00170ADB"/>
    <w:rsid w:val="0017377C"/>
    <w:rsid w:val="00175233"/>
    <w:rsid w:val="001768B2"/>
    <w:rsid w:val="00176DE7"/>
    <w:rsid w:val="00180677"/>
    <w:rsid w:val="001807CA"/>
    <w:rsid w:val="00181C65"/>
    <w:rsid w:val="001831BA"/>
    <w:rsid w:val="00183697"/>
    <w:rsid w:val="00184809"/>
    <w:rsid w:val="0018568D"/>
    <w:rsid w:val="00186390"/>
    <w:rsid w:val="00187A53"/>
    <w:rsid w:val="00187A7D"/>
    <w:rsid w:val="00187ACC"/>
    <w:rsid w:val="0019003C"/>
    <w:rsid w:val="00190546"/>
    <w:rsid w:val="0019283F"/>
    <w:rsid w:val="00192D8C"/>
    <w:rsid w:val="00193ABF"/>
    <w:rsid w:val="00194F40"/>
    <w:rsid w:val="001A07C6"/>
    <w:rsid w:val="001A0905"/>
    <w:rsid w:val="001A1C9E"/>
    <w:rsid w:val="001A5EE3"/>
    <w:rsid w:val="001A7192"/>
    <w:rsid w:val="001A7234"/>
    <w:rsid w:val="001A75E8"/>
    <w:rsid w:val="001B0340"/>
    <w:rsid w:val="001B13AC"/>
    <w:rsid w:val="001B19A6"/>
    <w:rsid w:val="001B3C2B"/>
    <w:rsid w:val="001B498C"/>
    <w:rsid w:val="001B5BED"/>
    <w:rsid w:val="001B6E3B"/>
    <w:rsid w:val="001C1078"/>
    <w:rsid w:val="001C10C7"/>
    <w:rsid w:val="001C13B8"/>
    <w:rsid w:val="001C249E"/>
    <w:rsid w:val="001C46C1"/>
    <w:rsid w:val="001C62F3"/>
    <w:rsid w:val="001C6552"/>
    <w:rsid w:val="001C7651"/>
    <w:rsid w:val="001D01E1"/>
    <w:rsid w:val="001D03EC"/>
    <w:rsid w:val="001D0E56"/>
    <w:rsid w:val="001D1DD3"/>
    <w:rsid w:val="001D2813"/>
    <w:rsid w:val="001D34CD"/>
    <w:rsid w:val="001E055A"/>
    <w:rsid w:val="001E2B23"/>
    <w:rsid w:val="001E3FF5"/>
    <w:rsid w:val="001E580D"/>
    <w:rsid w:val="001F31CB"/>
    <w:rsid w:val="001F3AAA"/>
    <w:rsid w:val="001F3BAD"/>
    <w:rsid w:val="001F3D00"/>
    <w:rsid w:val="001F4407"/>
    <w:rsid w:val="001F473E"/>
    <w:rsid w:val="001F58D3"/>
    <w:rsid w:val="001F6942"/>
    <w:rsid w:val="001F7D3E"/>
    <w:rsid w:val="00202B7E"/>
    <w:rsid w:val="00202C16"/>
    <w:rsid w:val="002047BC"/>
    <w:rsid w:val="00204D06"/>
    <w:rsid w:val="00205BC9"/>
    <w:rsid w:val="002060A0"/>
    <w:rsid w:val="00207553"/>
    <w:rsid w:val="002104F8"/>
    <w:rsid w:val="00211FE1"/>
    <w:rsid w:val="00212574"/>
    <w:rsid w:val="0021483D"/>
    <w:rsid w:val="00214E7B"/>
    <w:rsid w:val="002166A7"/>
    <w:rsid w:val="00217795"/>
    <w:rsid w:val="00217836"/>
    <w:rsid w:val="00221414"/>
    <w:rsid w:val="00226041"/>
    <w:rsid w:val="00227518"/>
    <w:rsid w:val="002306BB"/>
    <w:rsid w:val="00230FEA"/>
    <w:rsid w:val="00232BB2"/>
    <w:rsid w:val="00232EF0"/>
    <w:rsid w:val="00233E72"/>
    <w:rsid w:val="0023570E"/>
    <w:rsid w:val="002424F5"/>
    <w:rsid w:val="00242610"/>
    <w:rsid w:val="00242A43"/>
    <w:rsid w:val="002435BF"/>
    <w:rsid w:val="00246332"/>
    <w:rsid w:val="00246C36"/>
    <w:rsid w:val="002503AF"/>
    <w:rsid w:val="00250555"/>
    <w:rsid w:val="002505B3"/>
    <w:rsid w:val="00251A86"/>
    <w:rsid w:val="00252656"/>
    <w:rsid w:val="002529A9"/>
    <w:rsid w:val="0025392B"/>
    <w:rsid w:val="00254793"/>
    <w:rsid w:val="0025495E"/>
    <w:rsid w:val="00254FE1"/>
    <w:rsid w:val="00256218"/>
    <w:rsid w:val="002562D4"/>
    <w:rsid w:val="00256DD6"/>
    <w:rsid w:val="00257AAB"/>
    <w:rsid w:val="00261FEF"/>
    <w:rsid w:val="00262BC5"/>
    <w:rsid w:val="00263DB5"/>
    <w:rsid w:val="00264A5F"/>
    <w:rsid w:val="00266D0F"/>
    <w:rsid w:val="00271175"/>
    <w:rsid w:val="00276119"/>
    <w:rsid w:val="0027676D"/>
    <w:rsid w:val="00281279"/>
    <w:rsid w:val="002822AA"/>
    <w:rsid w:val="0028322E"/>
    <w:rsid w:val="00283DDB"/>
    <w:rsid w:val="00287232"/>
    <w:rsid w:val="00287F6A"/>
    <w:rsid w:val="00290C75"/>
    <w:rsid w:val="00291ADA"/>
    <w:rsid w:val="00291C44"/>
    <w:rsid w:val="00292C78"/>
    <w:rsid w:val="002948EE"/>
    <w:rsid w:val="002963BD"/>
    <w:rsid w:val="00296AD4"/>
    <w:rsid w:val="00296B44"/>
    <w:rsid w:val="002A1066"/>
    <w:rsid w:val="002A1FD6"/>
    <w:rsid w:val="002A2CE7"/>
    <w:rsid w:val="002A358F"/>
    <w:rsid w:val="002B0790"/>
    <w:rsid w:val="002B1D56"/>
    <w:rsid w:val="002B24DE"/>
    <w:rsid w:val="002B787D"/>
    <w:rsid w:val="002B7EBD"/>
    <w:rsid w:val="002C0216"/>
    <w:rsid w:val="002C027C"/>
    <w:rsid w:val="002C1633"/>
    <w:rsid w:val="002C309E"/>
    <w:rsid w:val="002C520E"/>
    <w:rsid w:val="002C53E1"/>
    <w:rsid w:val="002C59BF"/>
    <w:rsid w:val="002C7416"/>
    <w:rsid w:val="002D278E"/>
    <w:rsid w:val="002D32EA"/>
    <w:rsid w:val="002D3328"/>
    <w:rsid w:val="002D561B"/>
    <w:rsid w:val="002D58AB"/>
    <w:rsid w:val="002D5EAB"/>
    <w:rsid w:val="002D7364"/>
    <w:rsid w:val="002D7572"/>
    <w:rsid w:val="002E0146"/>
    <w:rsid w:val="002E02B1"/>
    <w:rsid w:val="002E253C"/>
    <w:rsid w:val="002E3FC4"/>
    <w:rsid w:val="002E4829"/>
    <w:rsid w:val="002E55A1"/>
    <w:rsid w:val="002E5EFD"/>
    <w:rsid w:val="002F1B65"/>
    <w:rsid w:val="002F1B6A"/>
    <w:rsid w:val="002F31C7"/>
    <w:rsid w:val="002F37D5"/>
    <w:rsid w:val="002F3DC8"/>
    <w:rsid w:val="002F4113"/>
    <w:rsid w:val="002F537F"/>
    <w:rsid w:val="002F5E98"/>
    <w:rsid w:val="002F63D2"/>
    <w:rsid w:val="002F7AAD"/>
    <w:rsid w:val="00300DF6"/>
    <w:rsid w:val="003015C5"/>
    <w:rsid w:val="00302807"/>
    <w:rsid w:val="00302E7E"/>
    <w:rsid w:val="003042C8"/>
    <w:rsid w:val="00304833"/>
    <w:rsid w:val="00307050"/>
    <w:rsid w:val="003074BB"/>
    <w:rsid w:val="00312F2D"/>
    <w:rsid w:val="003207B3"/>
    <w:rsid w:val="003207F8"/>
    <w:rsid w:val="003213EF"/>
    <w:rsid w:val="00322135"/>
    <w:rsid w:val="00322958"/>
    <w:rsid w:val="00322A63"/>
    <w:rsid w:val="00323508"/>
    <w:rsid w:val="00323D5B"/>
    <w:rsid w:val="00324B52"/>
    <w:rsid w:val="003267A0"/>
    <w:rsid w:val="00327A46"/>
    <w:rsid w:val="00327D57"/>
    <w:rsid w:val="00333B36"/>
    <w:rsid w:val="00335BBB"/>
    <w:rsid w:val="00335EBF"/>
    <w:rsid w:val="003408C6"/>
    <w:rsid w:val="00343AC8"/>
    <w:rsid w:val="003468CC"/>
    <w:rsid w:val="00347722"/>
    <w:rsid w:val="00350F4D"/>
    <w:rsid w:val="003510A3"/>
    <w:rsid w:val="0035185A"/>
    <w:rsid w:val="00352256"/>
    <w:rsid w:val="003527DA"/>
    <w:rsid w:val="00353935"/>
    <w:rsid w:val="00353A80"/>
    <w:rsid w:val="00357F56"/>
    <w:rsid w:val="00361A28"/>
    <w:rsid w:val="00362380"/>
    <w:rsid w:val="0036240D"/>
    <w:rsid w:val="00363346"/>
    <w:rsid w:val="0036422D"/>
    <w:rsid w:val="0036550F"/>
    <w:rsid w:val="00366F08"/>
    <w:rsid w:val="00367F91"/>
    <w:rsid w:val="00370E5F"/>
    <w:rsid w:val="00374917"/>
    <w:rsid w:val="00375398"/>
    <w:rsid w:val="003764D8"/>
    <w:rsid w:val="00377DDB"/>
    <w:rsid w:val="00380BA6"/>
    <w:rsid w:val="00380CEC"/>
    <w:rsid w:val="00382A44"/>
    <w:rsid w:val="003900DE"/>
    <w:rsid w:val="003923F0"/>
    <w:rsid w:val="00393C56"/>
    <w:rsid w:val="0039505D"/>
    <w:rsid w:val="00396017"/>
    <w:rsid w:val="00396C4E"/>
    <w:rsid w:val="003A10A3"/>
    <w:rsid w:val="003A1646"/>
    <w:rsid w:val="003A473E"/>
    <w:rsid w:val="003A598C"/>
    <w:rsid w:val="003A7AB3"/>
    <w:rsid w:val="003B17FA"/>
    <w:rsid w:val="003B2C85"/>
    <w:rsid w:val="003B31F9"/>
    <w:rsid w:val="003B3605"/>
    <w:rsid w:val="003B4C13"/>
    <w:rsid w:val="003B642F"/>
    <w:rsid w:val="003C037D"/>
    <w:rsid w:val="003C05B9"/>
    <w:rsid w:val="003C0606"/>
    <w:rsid w:val="003C2076"/>
    <w:rsid w:val="003C3EA5"/>
    <w:rsid w:val="003C662F"/>
    <w:rsid w:val="003C7847"/>
    <w:rsid w:val="003D07EF"/>
    <w:rsid w:val="003D109E"/>
    <w:rsid w:val="003D3426"/>
    <w:rsid w:val="003D3902"/>
    <w:rsid w:val="003D62E1"/>
    <w:rsid w:val="003D7939"/>
    <w:rsid w:val="003E0E4B"/>
    <w:rsid w:val="003E1196"/>
    <w:rsid w:val="003E177B"/>
    <w:rsid w:val="003E223C"/>
    <w:rsid w:val="003E2540"/>
    <w:rsid w:val="003E26CA"/>
    <w:rsid w:val="003E2DE2"/>
    <w:rsid w:val="003E5304"/>
    <w:rsid w:val="003E6D3A"/>
    <w:rsid w:val="003E7045"/>
    <w:rsid w:val="003E7D3A"/>
    <w:rsid w:val="003F026A"/>
    <w:rsid w:val="003F444A"/>
    <w:rsid w:val="004007D3"/>
    <w:rsid w:val="004018FC"/>
    <w:rsid w:val="00402112"/>
    <w:rsid w:val="00402AAF"/>
    <w:rsid w:val="004044A0"/>
    <w:rsid w:val="0040476A"/>
    <w:rsid w:val="004048AB"/>
    <w:rsid w:val="00405F6F"/>
    <w:rsid w:val="00406A44"/>
    <w:rsid w:val="00411FAD"/>
    <w:rsid w:val="00414322"/>
    <w:rsid w:val="004158CE"/>
    <w:rsid w:val="00416847"/>
    <w:rsid w:val="004225FC"/>
    <w:rsid w:val="00424590"/>
    <w:rsid w:val="0042563E"/>
    <w:rsid w:val="004271D2"/>
    <w:rsid w:val="00434186"/>
    <w:rsid w:val="00434291"/>
    <w:rsid w:val="0043534B"/>
    <w:rsid w:val="00435748"/>
    <w:rsid w:val="00443001"/>
    <w:rsid w:val="00443064"/>
    <w:rsid w:val="00444CDA"/>
    <w:rsid w:val="00446B60"/>
    <w:rsid w:val="00446FB5"/>
    <w:rsid w:val="004506F2"/>
    <w:rsid w:val="00450D1B"/>
    <w:rsid w:val="00451124"/>
    <w:rsid w:val="0045255D"/>
    <w:rsid w:val="00452C83"/>
    <w:rsid w:val="004535D7"/>
    <w:rsid w:val="00453D5B"/>
    <w:rsid w:val="00456A48"/>
    <w:rsid w:val="004575EB"/>
    <w:rsid w:val="00457E05"/>
    <w:rsid w:val="004629B8"/>
    <w:rsid w:val="00463F7A"/>
    <w:rsid w:val="0046432F"/>
    <w:rsid w:val="00466EF2"/>
    <w:rsid w:val="00467ECA"/>
    <w:rsid w:val="004703D9"/>
    <w:rsid w:val="00471688"/>
    <w:rsid w:val="00472C7D"/>
    <w:rsid w:val="00473BAD"/>
    <w:rsid w:val="00475E71"/>
    <w:rsid w:val="00477295"/>
    <w:rsid w:val="00481EE9"/>
    <w:rsid w:val="00493559"/>
    <w:rsid w:val="0049366C"/>
    <w:rsid w:val="00494196"/>
    <w:rsid w:val="00494CB2"/>
    <w:rsid w:val="004967F3"/>
    <w:rsid w:val="0049681D"/>
    <w:rsid w:val="004970BD"/>
    <w:rsid w:val="004975DB"/>
    <w:rsid w:val="004A0765"/>
    <w:rsid w:val="004A0C95"/>
    <w:rsid w:val="004A3F91"/>
    <w:rsid w:val="004A4ECE"/>
    <w:rsid w:val="004A6AD5"/>
    <w:rsid w:val="004B06E8"/>
    <w:rsid w:val="004B0837"/>
    <w:rsid w:val="004B131C"/>
    <w:rsid w:val="004B1909"/>
    <w:rsid w:val="004B231F"/>
    <w:rsid w:val="004B2991"/>
    <w:rsid w:val="004B3849"/>
    <w:rsid w:val="004B4241"/>
    <w:rsid w:val="004B4954"/>
    <w:rsid w:val="004B582E"/>
    <w:rsid w:val="004B66BB"/>
    <w:rsid w:val="004C49FF"/>
    <w:rsid w:val="004C524C"/>
    <w:rsid w:val="004C5994"/>
    <w:rsid w:val="004D0F53"/>
    <w:rsid w:val="004D1233"/>
    <w:rsid w:val="004D1E55"/>
    <w:rsid w:val="004D1F3A"/>
    <w:rsid w:val="004D2638"/>
    <w:rsid w:val="004D28F9"/>
    <w:rsid w:val="004D439D"/>
    <w:rsid w:val="004D557F"/>
    <w:rsid w:val="004D5702"/>
    <w:rsid w:val="004D5720"/>
    <w:rsid w:val="004D682B"/>
    <w:rsid w:val="004D738C"/>
    <w:rsid w:val="004E031D"/>
    <w:rsid w:val="004E0F53"/>
    <w:rsid w:val="004E2397"/>
    <w:rsid w:val="004E660B"/>
    <w:rsid w:val="004E67BA"/>
    <w:rsid w:val="004E6B81"/>
    <w:rsid w:val="004F1F5E"/>
    <w:rsid w:val="004F2E1C"/>
    <w:rsid w:val="004F3567"/>
    <w:rsid w:val="004F3828"/>
    <w:rsid w:val="004F60D4"/>
    <w:rsid w:val="004F6135"/>
    <w:rsid w:val="004F7FE4"/>
    <w:rsid w:val="00501175"/>
    <w:rsid w:val="00501A96"/>
    <w:rsid w:val="0050419A"/>
    <w:rsid w:val="00505DFD"/>
    <w:rsid w:val="00506CC2"/>
    <w:rsid w:val="00507146"/>
    <w:rsid w:val="005110D1"/>
    <w:rsid w:val="00512B3C"/>
    <w:rsid w:val="00512EB5"/>
    <w:rsid w:val="00516B85"/>
    <w:rsid w:val="0052185D"/>
    <w:rsid w:val="0052209A"/>
    <w:rsid w:val="005233F6"/>
    <w:rsid w:val="00527DF4"/>
    <w:rsid w:val="00530461"/>
    <w:rsid w:val="00531411"/>
    <w:rsid w:val="0053238F"/>
    <w:rsid w:val="00532CB9"/>
    <w:rsid w:val="00533396"/>
    <w:rsid w:val="00533908"/>
    <w:rsid w:val="00534C9F"/>
    <w:rsid w:val="00542A0B"/>
    <w:rsid w:val="00542C52"/>
    <w:rsid w:val="005529A9"/>
    <w:rsid w:val="00553C16"/>
    <w:rsid w:val="005541EE"/>
    <w:rsid w:val="00554525"/>
    <w:rsid w:val="00555CCA"/>
    <w:rsid w:val="00556B3D"/>
    <w:rsid w:val="00560F5C"/>
    <w:rsid w:val="005611E7"/>
    <w:rsid w:val="005642BF"/>
    <w:rsid w:val="00564B80"/>
    <w:rsid w:val="00567FFA"/>
    <w:rsid w:val="00570D8F"/>
    <w:rsid w:val="00573414"/>
    <w:rsid w:val="00575181"/>
    <w:rsid w:val="00575B43"/>
    <w:rsid w:val="00575C3D"/>
    <w:rsid w:val="00576C89"/>
    <w:rsid w:val="005809AB"/>
    <w:rsid w:val="00585D7F"/>
    <w:rsid w:val="00586564"/>
    <w:rsid w:val="00586B75"/>
    <w:rsid w:val="00587B7F"/>
    <w:rsid w:val="00592282"/>
    <w:rsid w:val="00593F43"/>
    <w:rsid w:val="00595921"/>
    <w:rsid w:val="00596482"/>
    <w:rsid w:val="005969E8"/>
    <w:rsid w:val="00596FC2"/>
    <w:rsid w:val="00597163"/>
    <w:rsid w:val="00597C58"/>
    <w:rsid w:val="005A01A6"/>
    <w:rsid w:val="005A13D3"/>
    <w:rsid w:val="005A1D36"/>
    <w:rsid w:val="005A4F93"/>
    <w:rsid w:val="005A59DB"/>
    <w:rsid w:val="005A718D"/>
    <w:rsid w:val="005A7E14"/>
    <w:rsid w:val="005B0357"/>
    <w:rsid w:val="005B0720"/>
    <w:rsid w:val="005B0872"/>
    <w:rsid w:val="005B1006"/>
    <w:rsid w:val="005B2404"/>
    <w:rsid w:val="005B334D"/>
    <w:rsid w:val="005B37EE"/>
    <w:rsid w:val="005B461A"/>
    <w:rsid w:val="005B6A54"/>
    <w:rsid w:val="005C0491"/>
    <w:rsid w:val="005C1D04"/>
    <w:rsid w:val="005C2110"/>
    <w:rsid w:val="005C356E"/>
    <w:rsid w:val="005C433C"/>
    <w:rsid w:val="005C4CBB"/>
    <w:rsid w:val="005C613E"/>
    <w:rsid w:val="005C7215"/>
    <w:rsid w:val="005C7809"/>
    <w:rsid w:val="005C7C02"/>
    <w:rsid w:val="005D0B27"/>
    <w:rsid w:val="005D0E54"/>
    <w:rsid w:val="005D1838"/>
    <w:rsid w:val="005D2861"/>
    <w:rsid w:val="005D2EBB"/>
    <w:rsid w:val="005D2F4A"/>
    <w:rsid w:val="005D470D"/>
    <w:rsid w:val="005D496D"/>
    <w:rsid w:val="005D5373"/>
    <w:rsid w:val="005D69CF"/>
    <w:rsid w:val="005E0C87"/>
    <w:rsid w:val="005E103E"/>
    <w:rsid w:val="005E1AAB"/>
    <w:rsid w:val="005E4610"/>
    <w:rsid w:val="005E633A"/>
    <w:rsid w:val="005E730F"/>
    <w:rsid w:val="005E7992"/>
    <w:rsid w:val="005E7EDD"/>
    <w:rsid w:val="005F0256"/>
    <w:rsid w:val="005F053B"/>
    <w:rsid w:val="005F067A"/>
    <w:rsid w:val="005F124E"/>
    <w:rsid w:val="005F1462"/>
    <w:rsid w:val="005F27A6"/>
    <w:rsid w:val="005F39FC"/>
    <w:rsid w:val="005F5E37"/>
    <w:rsid w:val="005F6077"/>
    <w:rsid w:val="005F720F"/>
    <w:rsid w:val="005F78E2"/>
    <w:rsid w:val="00600608"/>
    <w:rsid w:val="00600B35"/>
    <w:rsid w:val="00602F2D"/>
    <w:rsid w:val="006036DC"/>
    <w:rsid w:val="00604CD0"/>
    <w:rsid w:val="00605EB8"/>
    <w:rsid w:val="006077F8"/>
    <w:rsid w:val="00612E7C"/>
    <w:rsid w:val="00613239"/>
    <w:rsid w:val="00613279"/>
    <w:rsid w:val="00613813"/>
    <w:rsid w:val="00613E7C"/>
    <w:rsid w:val="00615B67"/>
    <w:rsid w:val="00616C1B"/>
    <w:rsid w:val="006177DC"/>
    <w:rsid w:val="00622F8C"/>
    <w:rsid w:val="00623615"/>
    <w:rsid w:val="0062595B"/>
    <w:rsid w:val="00630ED9"/>
    <w:rsid w:val="006315D4"/>
    <w:rsid w:val="00632C99"/>
    <w:rsid w:val="006404F9"/>
    <w:rsid w:val="006410D3"/>
    <w:rsid w:val="00642261"/>
    <w:rsid w:val="006470C6"/>
    <w:rsid w:val="00647E73"/>
    <w:rsid w:val="00650B09"/>
    <w:rsid w:val="006561A4"/>
    <w:rsid w:val="00656AEE"/>
    <w:rsid w:val="006624C2"/>
    <w:rsid w:val="00663A67"/>
    <w:rsid w:val="00663DD0"/>
    <w:rsid w:val="00664B91"/>
    <w:rsid w:val="00665B71"/>
    <w:rsid w:val="00670A48"/>
    <w:rsid w:val="0067122D"/>
    <w:rsid w:val="00671872"/>
    <w:rsid w:val="00673369"/>
    <w:rsid w:val="00675340"/>
    <w:rsid w:val="00675569"/>
    <w:rsid w:val="006779EE"/>
    <w:rsid w:val="00680C69"/>
    <w:rsid w:val="00681C9C"/>
    <w:rsid w:val="00683579"/>
    <w:rsid w:val="00684E83"/>
    <w:rsid w:val="00686D4F"/>
    <w:rsid w:val="0069029E"/>
    <w:rsid w:val="00690FF9"/>
    <w:rsid w:val="00691328"/>
    <w:rsid w:val="0069154D"/>
    <w:rsid w:val="00692361"/>
    <w:rsid w:val="0069258C"/>
    <w:rsid w:val="00693464"/>
    <w:rsid w:val="006950A9"/>
    <w:rsid w:val="006A0052"/>
    <w:rsid w:val="006A0203"/>
    <w:rsid w:val="006A1BC3"/>
    <w:rsid w:val="006A4262"/>
    <w:rsid w:val="006A6186"/>
    <w:rsid w:val="006A67BC"/>
    <w:rsid w:val="006B07DE"/>
    <w:rsid w:val="006B1543"/>
    <w:rsid w:val="006B4893"/>
    <w:rsid w:val="006B7976"/>
    <w:rsid w:val="006C12D8"/>
    <w:rsid w:val="006C37DB"/>
    <w:rsid w:val="006C5ACB"/>
    <w:rsid w:val="006D0A77"/>
    <w:rsid w:val="006D119E"/>
    <w:rsid w:val="006D287B"/>
    <w:rsid w:val="006D3611"/>
    <w:rsid w:val="006D5948"/>
    <w:rsid w:val="006D5C4D"/>
    <w:rsid w:val="006D6243"/>
    <w:rsid w:val="006D6306"/>
    <w:rsid w:val="006D7411"/>
    <w:rsid w:val="006D7FC5"/>
    <w:rsid w:val="006E0E3A"/>
    <w:rsid w:val="006E4319"/>
    <w:rsid w:val="006E6892"/>
    <w:rsid w:val="006F0F0B"/>
    <w:rsid w:val="006F18B5"/>
    <w:rsid w:val="006F3EAB"/>
    <w:rsid w:val="006F7854"/>
    <w:rsid w:val="007008F2"/>
    <w:rsid w:val="007018A1"/>
    <w:rsid w:val="00701EDB"/>
    <w:rsid w:val="00705C3E"/>
    <w:rsid w:val="007061F4"/>
    <w:rsid w:val="0070694F"/>
    <w:rsid w:val="00707320"/>
    <w:rsid w:val="00710730"/>
    <w:rsid w:val="0071116A"/>
    <w:rsid w:val="0071118A"/>
    <w:rsid w:val="0071132C"/>
    <w:rsid w:val="00712159"/>
    <w:rsid w:val="007129C6"/>
    <w:rsid w:val="00713279"/>
    <w:rsid w:val="007143B0"/>
    <w:rsid w:val="00714AD7"/>
    <w:rsid w:val="00715092"/>
    <w:rsid w:val="007151BE"/>
    <w:rsid w:val="007153A3"/>
    <w:rsid w:val="00715B9B"/>
    <w:rsid w:val="007205FF"/>
    <w:rsid w:val="00720640"/>
    <w:rsid w:val="00721298"/>
    <w:rsid w:val="00722B58"/>
    <w:rsid w:val="0072321E"/>
    <w:rsid w:val="00723E4E"/>
    <w:rsid w:val="00724C88"/>
    <w:rsid w:val="00725441"/>
    <w:rsid w:val="0072578A"/>
    <w:rsid w:val="0072659D"/>
    <w:rsid w:val="007266DA"/>
    <w:rsid w:val="00727D66"/>
    <w:rsid w:val="007312FC"/>
    <w:rsid w:val="00733C68"/>
    <w:rsid w:val="0073636B"/>
    <w:rsid w:val="0073659D"/>
    <w:rsid w:val="007365B0"/>
    <w:rsid w:val="0073729C"/>
    <w:rsid w:val="0073788A"/>
    <w:rsid w:val="0074078F"/>
    <w:rsid w:val="00740F3B"/>
    <w:rsid w:val="0074143E"/>
    <w:rsid w:val="00741CC3"/>
    <w:rsid w:val="0074230B"/>
    <w:rsid w:val="0074296D"/>
    <w:rsid w:val="00744124"/>
    <w:rsid w:val="007448FD"/>
    <w:rsid w:val="007458FA"/>
    <w:rsid w:val="00746161"/>
    <w:rsid w:val="007469A8"/>
    <w:rsid w:val="00747815"/>
    <w:rsid w:val="0075050D"/>
    <w:rsid w:val="00750828"/>
    <w:rsid w:val="007532FC"/>
    <w:rsid w:val="00753402"/>
    <w:rsid w:val="00753CC2"/>
    <w:rsid w:val="007556CC"/>
    <w:rsid w:val="00756172"/>
    <w:rsid w:val="00756AAB"/>
    <w:rsid w:val="007646E4"/>
    <w:rsid w:val="0076759B"/>
    <w:rsid w:val="00767E2F"/>
    <w:rsid w:val="0077102E"/>
    <w:rsid w:val="00772213"/>
    <w:rsid w:val="007736A8"/>
    <w:rsid w:val="007743BA"/>
    <w:rsid w:val="00774672"/>
    <w:rsid w:val="00775B50"/>
    <w:rsid w:val="007763F1"/>
    <w:rsid w:val="00776979"/>
    <w:rsid w:val="00777B9B"/>
    <w:rsid w:val="00777EAA"/>
    <w:rsid w:val="00780450"/>
    <w:rsid w:val="007804F5"/>
    <w:rsid w:val="0078215B"/>
    <w:rsid w:val="00782CA2"/>
    <w:rsid w:val="00784244"/>
    <w:rsid w:val="00784C5E"/>
    <w:rsid w:val="00790A9D"/>
    <w:rsid w:val="00792DB9"/>
    <w:rsid w:val="00795AD0"/>
    <w:rsid w:val="007969E6"/>
    <w:rsid w:val="00797472"/>
    <w:rsid w:val="007978BD"/>
    <w:rsid w:val="007A0BE7"/>
    <w:rsid w:val="007A0DF3"/>
    <w:rsid w:val="007A1932"/>
    <w:rsid w:val="007A2D2B"/>
    <w:rsid w:val="007A4148"/>
    <w:rsid w:val="007A453D"/>
    <w:rsid w:val="007A65E3"/>
    <w:rsid w:val="007A6625"/>
    <w:rsid w:val="007A7239"/>
    <w:rsid w:val="007B0497"/>
    <w:rsid w:val="007B191F"/>
    <w:rsid w:val="007B1F79"/>
    <w:rsid w:val="007B2F7F"/>
    <w:rsid w:val="007B517C"/>
    <w:rsid w:val="007B5EDF"/>
    <w:rsid w:val="007B7E31"/>
    <w:rsid w:val="007C1752"/>
    <w:rsid w:val="007C2598"/>
    <w:rsid w:val="007C28F7"/>
    <w:rsid w:val="007C3772"/>
    <w:rsid w:val="007C3B01"/>
    <w:rsid w:val="007C440C"/>
    <w:rsid w:val="007C5DA0"/>
    <w:rsid w:val="007C5FB2"/>
    <w:rsid w:val="007D06A6"/>
    <w:rsid w:val="007D0C1C"/>
    <w:rsid w:val="007D1028"/>
    <w:rsid w:val="007D324F"/>
    <w:rsid w:val="007D4FDC"/>
    <w:rsid w:val="007D61BE"/>
    <w:rsid w:val="007D69C3"/>
    <w:rsid w:val="007D7B4C"/>
    <w:rsid w:val="007E1972"/>
    <w:rsid w:val="007E1BA1"/>
    <w:rsid w:val="007E241B"/>
    <w:rsid w:val="007E2ADD"/>
    <w:rsid w:val="007E2AE0"/>
    <w:rsid w:val="007E341E"/>
    <w:rsid w:val="007E3558"/>
    <w:rsid w:val="007E3A11"/>
    <w:rsid w:val="007E4404"/>
    <w:rsid w:val="007E51C2"/>
    <w:rsid w:val="007E7EF6"/>
    <w:rsid w:val="007F0CFC"/>
    <w:rsid w:val="007F1860"/>
    <w:rsid w:val="007F1A99"/>
    <w:rsid w:val="007F1F5D"/>
    <w:rsid w:val="007F2418"/>
    <w:rsid w:val="007F51E7"/>
    <w:rsid w:val="007F5FAF"/>
    <w:rsid w:val="007F6769"/>
    <w:rsid w:val="007F6E80"/>
    <w:rsid w:val="007F7232"/>
    <w:rsid w:val="007F77B4"/>
    <w:rsid w:val="00800141"/>
    <w:rsid w:val="00801204"/>
    <w:rsid w:val="00801AC8"/>
    <w:rsid w:val="00803129"/>
    <w:rsid w:val="00804AA1"/>
    <w:rsid w:val="00804CC4"/>
    <w:rsid w:val="00805632"/>
    <w:rsid w:val="00805762"/>
    <w:rsid w:val="00811D05"/>
    <w:rsid w:val="00811D90"/>
    <w:rsid w:val="00811F2B"/>
    <w:rsid w:val="008127D7"/>
    <w:rsid w:val="00812B9F"/>
    <w:rsid w:val="00815056"/>
    <w:rsid w:val="00816F03"/>
    <w:rsid w:val="00822C47"/>
    <w:rsid w:val="00822E58"/>
    <w:rsid w:val="0082396B"/>
    <w:rsid w:val="00823D8E"/>
    <w:rsid w:val="00824BC5"/>
    <w:rsid w:val="008305C7"/>
    <w:rsid w:val="008346A9"/>
    <w:rsid w:val="0083531D"/>
    <w:rsid w:val="008354FC"/>
    <w:rsid w:val="00835BC5"/>
    <w:rsid w:val="00836ADB"/>
    <w:rsid w:val="00836EE6"/>
    <w:rsid w:val="00837574"/>
    <w:rsid w:val="00840939"/>
    <w:rsid w:val="00841153"/>
    <w:rsid w:val="00841EBF"/>
    <w:rsid w:val="00842B4F"/>
    <w:rsid w:val="00842EB1"/>
    <w:rsid w:val="00844644"/>
    <w:rsid w:val="008447F6"/>
    <w:rsid w:val="00844A77"/>
    <w:rsid w:val="0084564F"/>
    <w:rsid w:val="00845E0C"/>
    <w:rsid w:val="0084705D"/>
    <w:rsid w:val="008479A2"/>
    <w:rsid w:val="0085281B"/>
    <w:rsid w:val="00854119"/>
    <w:rsid w:val="0085496A"/>
    <w:rsid w:val="00854B7A"/>
    <w:rsid w:val="0085685B"/>
    <w:rsid w:val="0086101F"/>
    <w:rsid w:val="00861684"/>
    <w:rsid w:val="008716D2"/>
    <w:rsid w:val="00872059"/>
    <w:rsid w:val="00872A06"/>
    <w:rsid w:val="00876E7A"/>
    <w:rsid w:val="00877C94"/>
    <w:rsid w:val="0088024E"/>
    <w:rsid w:val="0088117A"/>
    <w:rsid w:val="008822D4"/>
    <w:rsid w:val="00883A3E"/>
    <w:rsid w:val="008856A9"/>
    <w:rsid w:val="008865BC"/>
    <w:rsid w:val="0089167D"/>
    <w:rsid w:val="00891D7A"/>
    <w:rsid w:val="00891E02"/>
    <w:rsid w:val="00895568"/>
    <w:rsid w:val="008978BC"/>
    <w:rsid w:val="008A0240"/>
    <w:rsid w:val="008A13D7"/>
    <w:rsid w:val="008A1D11"/>
    <w:rsid w:val="008A1D1E"/>
    <w:rsid w:val="008A4057"/>
    <w:rsid w:val="008A6206"/>
    <w:rsid w:val="008A7414"/>
    <w:rsid w:val="008B3A84"/>
    <w:rsid w:val="008B6BC2"/>
    <w:rsid w:val="008B7054"/>
    <w:rsid w:val="008B78D8"/>
    <w:rsid w:val="008C18E4"/>
    <w:rsid w:val="008C21B6"/>
    <w:rsid w:val="008C3A33"/>
    <w:rsid w:val="008C3AE1"/>
    <w:rsid w:val="008C3F47"/>
    <w:rsid w:val="008C5AB1"/>
    <w:rsid w:val="008C780B"/>
    <w:rsid w:val="008D1570"/>
    <w:rsid w:val="008D15C5"/>
    <w:rsid w:val="008D18F8"/>
    <w:rsid w:val="008D19F0"/>
    <w:rsid w:val="008D2373"/>
    <w:rsid w:val="008D30F5"/>
    <w:rsid w:val="008D3A22"/>
    <w:rsid w:val="008D626A"/>
    <w:rsid w:val="008D6FC2"/>
    <w:rsid w:val="008D6FC7"/>
    <w:rsid w:val="008E0522"/>
    <w:rsid w:val="008E22A0"/>
    <w:rsid w:val="008E2BFF"/>
    <w:rsid w:val="008E377F"/>
    <w:rsid w:val="008E3EE4"/>
    <w:rsid w:val="008E6B91"/>
    <w:rsid w:val="008E6F9E"/>
    <w:rsid w:val="008E75F9"/>
    <w:rsid w:val="008E7F7D"/>
    <w:rsid w:val="008F0B01"/>
    <w:rsid w:val="008F2215"/>
    <w:rsid w:val="008F43FC"/>
    <w:rsid w:val="008F4C99"/>
    <w:rsid w:val="008F7EC2"/>
    <w:rsid w:val="009032C9"/>
    <w:rsid w:val="00903609"/>
    <w:rsid w:val="00904FA9"/>
    <w:rsid w:val="00906166"/>
    <w:rsid w:val="00906648"/>
    <w:rsid w:val="0090703E"/>
    <w:rsid w:val="00910735"/>
    <w:rsid w:val="0091166C"/>
    <w:rsid w:val="00912039"/>
    <w:rsid w:val="0091236A"/>
    <w:rsid w:val="00913A86"/>
    <w:rsid w:val="00915AC3"/>
    <w:rsid w:val="00920B31"/>
    <w:rsid w:val="00921DC7"/>
    <w:rsid w:val="0092236B"/>
    <w:rsid w:val="009224E2"/>
    <w:rsid w:val="00922ABA"/>
    <w:rsid w:val="0092471D"/>
    <w:rsid w:val="0092526C"/>
    <w:rsid w:val="00925B16"/>
    <w:rsid w:val="0092648F"/>
    <w:rsid w:val="009315E9"/>
    <w:rsid w:val="0093438B"/>
    <w:rsid w:val="00934B5D"/>
    <w:rsid w:val="00935218"/>
    <w:rsid w:val="009415C8"/>
    <w:rsid w:val="009438E5"/>
    <w:rsid w:val="0094495D"/>
    <w:rsid w:val="00945221"/>
    <w:rsid w:val="009460BE"/>
    <w:rsid w:val="00947329"/>
    <w:rsid w:val="00947975"/>
    <w:rsid w:val="00950807"/>
    <w:rsid w:val="00950DC8"/>
    <w:rsid w:val="00951027"/>
    <w:rsid w:val="00953AC7"/>
    <w:rsid w:val="0095494D"/>
    <w:rsid w:val="00955E36"/>
    <w:rsid w:val="00955E9A"/>
    <w:rsid w:val="00957548"/>
    <w:rsid w:val="00957FE9"/>
    <w:rsid w:val="00961DB0"/>
    <w:rsid w:val="00962AD6"/>
    <w:rsid w:val="00962F38"/>
    <w:rsid w:val="009635A9"/>
    <w:rsid w:val="00963C3E"/>
    <w:rsid w:val="00966DDE"/>
    <w:rsid w:val="00967038"/>
    <w:rsid w:val="009726B7"/>
    <w:rsid w:val="00972D5A"/>
    <w:rsid w:val="00972E3F"/>
    <w:rsid w:val="0097334F"/>
    <w:rsid w:val="00973E6E"/>
    <w:rsid w:val="00974D4A"/>
    <w:rsid w:val="009759F4"/>
    <w:rsid w:val="00975D6F"/>
    <w:rsid w:val="00980A1E"/>
    <w:rsid w:val="00982E94"/>
    <w:rsid w:val="0098366F"/>
    <w:rsid w:val="00984332"/>
    <w:rsid w:val="00984B10"/>
    <w:rsid w:val="0098522B"/>
    <w:rsid w:val="00985DDE"/>
    <w:rsid w:val="0098796A"/>
    <w:rsid w:val="00991240"/>
    <w:rsid w:val="00993BFB"/>
    <w:rsid w:val="009963D8"/>
    <w:rsid w:val="009A269C"/>
    <w:rsid w:val="009A424E"/>
    <w:rsid w:val="009A4526"/>
    <w:rsid w:val="009A457A"/>
    <w:rsid w:val="009A69EA"/>
    <w:rsid w:val="009A7FE7"/>
    <w:rsid w:val="009B04C6"/>
    <w:rsid w:val="009B1964"/>
    <w:rsid w:val="009B242F"/>
    <w:rsid w:val="009B2AF5"/>
    <w:rsid w:val="009B568B"/>
    <w:rsid w:val="009B7539"/>
    <w:rsid w:val="009C1DE7"/>
    <w:rsid w:val="009C3407"/>
    <w:rsid w:val="009C35B4"/>
    <w:rsid w:val="009C3730"/>
    <w:rsid w:val="009C4754"/>
    <w:rsid w:val="009C4DFC"/>
    <w:rsid w:val="009C5249"/>
    <w:rsid w:val="009C6155"/>
    <w:rsid w:val="009C6ACB"/>
    <w:rsid w:val="009D10A7"/>
    <w:rsid w:val="009D5BFD"/>
    <w:rsid w:val="009E0C90"/>
    <w:rsid w:val="009E30B4"/>
    <w:rsid w:val="009E32D4"/>
    <w:rsid w:val="009E3F8C"/>
    <w:rsid w:val="009E4847"/>
    <w:rsid w:val="009E4EC4"/>
    <w:rsid w:val="009E5F50"/>
    <w:rsid w:val="009E7B3D"/>
    <w:rsid w:val="009F041C"/>
    <w:rsid w:val="009F1A1F"/>
    <w:rsid w:val="009F42E1"/>
    <w:rsid w:val="009F48BC"/>
    <w:rsid w:val="009F4A93"/>
    <w:rsid w:val="009F5348"/>
    <w:rsid w:val="009F56ED"/>
    <w:rsid w:val="009F6592"/>
    <w:rsid w:val="009F78F2"/>
    <w:rsid w:val="00A01F7E"/>
    <w:rsid w:val="00A02FAD"/>
    <w:rsid w:val="00A041C6"/>
    <w:rsid w:val="00A1078E"/>
    <w:rsid w:val="00A137AC"/>
    <w:rsid w:val="00A14C9B"/>
    <w:rsid w:val="00A15D2B"/>
    <w:rsid w:val="00A20021"/>
    <w:rsid w:val="00A207D8"/>
    <w:rsid w:val="00A21B61"/>
    <w:rsid w:val="00A22A57"/>
    <w:rsid w:val="00A23C8D"/>
    <w:rsid w:val="00A2454C"/>
    <w:rsid w:val="00A24999"/>
    <w:rsid w:val="00A2499D"/>
    <w:rsid w:val="00A2780F"/>
    <w:rsid w:val="00A27F60"/>
    <w:rsid w:val="00A30202"/>
    <w:rsid w:val="00A30D39"/>
    <w:rsid w:val="00A31A7F"/>
    <w:rsid w:val="00A31CFD"/>
    <w:rsid w:val="00A31D2B"/>
    <w:rsid w:val="00A350C8"/>
    <w:rsid w:val="00A36A82"/>
    <w:rsid w:val="00A3783B"/>
    <w:rsid w:val="00A37B4B"/>
    <w:rsid w:val="00A402A0"/>
    <w:rsid w:val="00A40D8C"/>
    <w:rsid w:val="00A4264F"/>
    <w:rsid w:val="00A43132"/>
    <w:rsid w:val="00A437AD"/>
    <w:rsid w:val="00A43BA9"/>
    <w:rsid w:val="00A43D44"/>
    <w:rsid w:val="00A43DBD"/>
    <w:rsid w:val="00A44189"/>
    <w:rsid w:val="00A4484D"/>
    <w:rsid w:val="00A44B02"/>
    <w:rsid w:val="00A44F90"/>
    <w:rsid w:val="00A453B5"/>
    <w:rsid w:val="00A50FBE"/>
    <w:rsid w:val="00A523D1"/>
    <w:rsid w:val="00A548A1"/>
    <w:rsid w:val="00A56199"/>
    <w:rsid w:val="00A56B33"/>
    <w:rsid w:val="00A57C53"/>
    <w:rsid w:val="00A603C6"/>
    <w:rsid w:val="00A6139F"/>
    <w:rsid w:val="00A62C51"/>
    <w:rsid w:val="00A63094"/>
    <w:rsid w:val="00A634ED"/>
    <w:rsid w:val="00A64009"/>
    <w:rsid w:val="00A64CF5"/>
    <w:rsid w:val="00A66987"/>
    <w:rsid w:val="00A70F91"/>
    <w:rsid w:val="00A717B7"/>
    <w:rsid w:val="00A7183A"/>
    <w:rsid w:val="00A72331"/>
    <w:rsid w:val="00A72943"/>
    <w:rsid w:val="00A72C63"/>
    <w:rsid w:val="00A7639F"/>
    <w:rsid w:val="00A77551"/>
    <w:rsid w:val="00A80CC2"/>
    <w:rsid w:val="00A815D3"/>
    <w:rsid w:val="00A82E6A"/>
    <w:rsid w:val="00A83CA6"/>
    <w:rsid w:val="00A85152"/>
    <w:rsid w:val="00A872CD"/>
    <w:rsid w:val="00A87E2A"/>
    <w:rsid w:val="00A901D0"/>
    <w:rsid w:val="00A903B4"/>
    <w:rsid w:val="00A90DB1"/>
    <w:rsid w:val="00A90EDB"/>
    <w:rsid w:val="00A91348"/>
    <w:rsid w:val="00A926EB"/>
    <w:rsid w:val="00A93B03"/>
    <w:rsid w:val="00A93D5E"/>
    <w:rsid w:val="00A95512"/>
    <w:rsid w:val="00A979BA"/>
    <w:rsid w:val="00AA18A8"/>
    <w:rsid w:val="00AA1F4F"/>
    <w:rsid w:val="00AA3153"/>
    <w:rsid w:val="00AA3207"/>
    <w:rsid w:val="00AA3703"/>
    <w:rsid w:val="00AA5234"/>
    <w:rsid w:val="00AA6256"/>
    <w:rsid w:val="00AA6C1F"/>
    <w:rsid w:val="00AA7292"/>
    <w:rsid w:val="00AB0B39"/>
    <w:rsid w:val="00AB1254"/>
    <w:rsid w:val="00AB151B"/>
    <w:rsid w:val="00AB184F"/>
    <w:rsid w:val="00AB4DE1"/>
    <w:rsid w:val="00AB629C"/>
    <w:rsid w:val="00AB7E11"/>
    <w:rsid w:val="00AC0B32"/>
    <w:rsid w:val="00AC1F93"/>
    <w:rsid w:val="00AC46C8"/>
    <w:rsid w:val="00AC6193"/>
    <w:rsid w:val="00AD09D3"/>
    <w:rsid w:val="00AD17C1"/>
    <w:rsid w:val="00AD1ABC"/>
    <w:rsid w:val="00AD273D"/>
    <w:rsid w:val="00AD290A"/>
    <w:rsid w:val="00AD2C14"/>
    <w:rsid w:val="00AD411F"/>
    <w:rsid w:val="00AD6511"/>
    <w:rsid w:val="00AD6ABF"/>
    <w:rsid w:val="00AE057D"/>
    <w:rsid w:val="00AE36FB"/>
    <w:rsid w:val="00AE7E85"/>
    <w:rsid w:val="00AF0519"/>
    <w:rsid w:val="00AF07B8"/>
    <w:rsid w:val="00AF172E"/>
    <w:rsid w:val="00AF38E6"/>
    <w:rsid w:val="00AF66A9"/>
    <w:rsid w:val="00AF7C68"/>
    <w:rsid w:val="00B02152"/>
    <w:rsid w:val="00B02488"/>
    <w:rsid w:val="00B0343E"/>
    <w:rsid w:val="00B05BDC"/>
    <w:rsid w:val="00B079E3"/>
    <w:rsid w:val="00B1076C"/>
    <w:rsid w:val="00B10A9E"/>
    <w:rsid w:val="00B114F3"/>
    <w:rsid w:val="00B11703"/>
    <w:rsid w:val="00B122DA"/>
    <w:rsid w:val="00B12CFA"/>
    <w:rsid w:val="00B13274"/>
    <w:rsid w:val="00B13335"/>
    <w:rsid w:val="00B146E0"/>
    <w:rsid w:val="00B15BAF"/>
    <w:rsid w:val="00B1752A"/>
    <w:rsid w:val="00B222B3"/>
    <w:rsid w:val="00B234CD"/>
    <w:rsid w:val="00B24197"/>
    <w:rsid w:val="00B24CC2"/>
    <w:rsid w:val="00B251C4"/>
    <w:rsid w:val="00B26ADE"/>
    <w:rsid w:val="00B26FA7"/>
    <w:rsid w:val="00B3040F"/>
    <w:rsid w:val="00B31744"/>
    <w:rsid w:val="00B32CEE"/>
    <w:rsid w:val="00B3442D"/>
    <w:rsid w:val="00B35DF0"/>
    <w:rsid w:val="00B376BD"/>
    <w:rsid w:val="00B42DD5"/>
    <w:rsid w:val="00B43B7B"/>
    <w:rsid w:val="00B4639D"/>
    <w:rsid w:val="00B478B7"/>
    <w:rsid w:val="00B53CE0"/>
    <w:rsid w:val="00B54861"/>
    <w:rsid w:val="00B559BE"/>
    <w:rsid w:val="00B559FD"/>
    <w:rsid w:val="00B577C3"/>
    <w:rsid w:val="00B57899"/>
    <w:rsid w:val="00B57B62"/>
    <w:rsid w:val="00B630B8"/>
    <w:rsid w:val="00B63828"/>
    <w:rsid w:val="00B65C89"/>
    <w:rsid w:val="00B706E1"/>
    <w:rsid w:val="00B70A14"/>
    <w:rsid w:val="00B710F2"/>
    <w:rsid w:val="00B72323"/>
    <w:rsid w:val="00B72A4A"/>
    <w:rsid w:val="00B739DB"/>
    <w:rsid w:val="00B73F6E"/>
    <w:rsid w:val="00B7434F"/>
    <w:rsid w:val="00B76DCF"/>
    <w:rsid w:val="00B76FC4"/>
    <w:rsid w:val="00B77538"/>
    <w:rsid w:val="00B7782E"/>
    <w:rsid w:val="00B8139A"/>
    <w:rsid w:val="00B816AC"/>
    <w:rsid w:val="00B825E0"/>
    <w:rsid w:val="00B86804"/>
    <w:rsid w:val="00B86F5F"/>
    <w:rsid w:val="00B86F7E"/>
    <w:rsid w:val="00B91FCE"/>
    <w:rsid w:val="00B92A09"/>
    <w:rsid w:val="00B930B7"/>
    <w:rsid w:val="00B93B52"/>
    <w:rsid w:val="00B956C2"/>
    <w:rsid w:val="00B96D9F"/>
    <w:rsid w:val="00BA01DE"/>
    <w:rsid w:val="00BA1348"/>
    <w:rsid w:val="00BA1F0D"/>
    <w:rsid w:val="00BA211A"/>
    <w:rsid w:val="00BA22D0"/>
    <w:rsid w:val="00BA3DA6"/>
    <w:rsid w:val="00BB0FD3"/>
    <w:rsid w:val="00BB450A"/>
    <w:rsid w:val="00BB45F0"/>
    <w:rsid w:val="00BB5156"/>
    <w:rsid w:val="00BB588C"/>
    <w:rsid w:val="00BB6230"/>
    <w:rsid w:val="00BB7343"/>
    <w:rsid w:val="00BC193A"/>
    <w:rsid w:val="00BC40A6"/>
    <w:rsid w:val="00BC4670"/>
    <w:rsid w:val="00BC4688"/>
    <w:rsid w:val="00BC4C5B"/>
    <w:rsid w:val="00BC52D6"/>
    <w:rsid w:val="00BC7357"/>
    <w:rsid w:val="00BD0989"/>
    <w:rsid w:val="00BD0E3C"/>
    <w:rsid w:val="00BD0FB9"/>
    <w:rsid w:val="00BD15C5"/>
    <w:rsid w:val="00BD3139"/>
    <w:rsid w:val="00BD595B"/>
    <w:rsid w:val="00BD7C21"/>
    <w:rsid w:val="00BE0870"/>
    <w:rsid w:val="00BE154D"/>
    <w:rsid w:val="00BE4E58"/>
    <w:rsid w:val="00BE5B70"/>
    <w:rsid w:val="00BE7825"/>
    <w:rsid w:val="00BF130D"/>
    <w:rsid w:val="00BF1742"/>
    <w:rsid w:val="00BF2179"/>
    <w:rsid w:val="00BF48A7"/>
    <w:rsid w:val="00BF6066"/>
    <w:rsid w:val="00C0212B"/>
    <w:rsid w:val="00C026EA"/>
    <w:rsid w:val="00C02B40"/>
    <w:rsid w:val="00C04653"/>
    <w:rsid w:val="00C04CF6"/>
    <w:rsid w:val="00C06368"/>
    <w:rsid w:val="00C069E0"/>
    <w:rsid w:val="00C06CD0"/>
    <w:rsid w:val="00C07FAA"/>
    <w:rsid w:val="00C108D5"/>
    <w:rsid w:val="00C1411D"/>
    <w:rsid w:val="00C15AFF"/>
    <w:rsid w:val="00C1658B"/>
    <w:rsid w:val="00C20352"/>
    <w:rsid w:val="00C206A7"/>
    <w:rsid w:val="00C21D5C"/>
    <w:rsid w:val="00C229E4"/>
    <w:rsid w:val="00C22EA4"/>
    <w:rsid w:val="00C2344B"/>
    <w:rsid w:val="00C2378D"/>
    <w:rsid w:val="00C2494B"/>
    <w:rsid w:val="00C25D32"/>
    <w:rsid w:val="00C260B4"/>
    <w:rsid w:val="00C26DB5"/>
    <w:rsid w:val="00C2764D"/>
    <w:rsid w:val="00C27FC4"/>
    <w:rsid w:val="00C30AA3"/>
    <w:rsid w:val="00C31537"/>
    <w:rsid w:val="00C32AD3"/>
    <w:rsid w:val="00C33150"/>
    <w:rsid w:val="00C333B9"/>
    <w:rsid w:val="00C341EA"/>
    <w:rsid w:val="00C348E3"/>
    <w:rsid w:val="00C40F8C"/>
    <w:rsid w:val="00C41DD0"/>
    <w:rsid w:val="00C45314"/>
    <w:rsid w:val="00C4570F"/>
    <w:rsid w:val="00C45D96"/>
    <w:rsid w:val="00C535F8"/>
    <w:rsid w:val="00C55819"/>
    <w:rsid w:val="00C55A08"/>
    <w:rsid w:val="00C56083"/>
    <w:rsid w:val="00C56221"/>
    <w:rsid w:val="00C5707A"/>
    <w:rsid w:val="00C57DF3"/>
    <w:rsid w:val="00C62456"/>
    <w:rsid w:val="00C63A61"/>
    <w:rsid w:val="00C64BDA"/>
    <w:rsid w:val="00C65F5A"/>
    <w:rsid w:val="00C6644A"/>
    <w:rsid w:val="00C669C9"/>
    <w:rsid w:val="00C729E4"/>
    <w:rsid w:val="00C7358E"/>
    <w:rsid w:val="00C74928"/>
    <w:rsid w:val="00C75202"/>
    <w:rsid w:val="00C75315"/>
    <w:rsid w:val="00C80BE0"/>
    <w:rsid w:val="00C82886"/>
    <w:rsid w:val="00C85D27"/>
    <w:rsid w:val="00C92484"/>
    <w:rsid w:val="00C938E2"/>
    <w:rsid w:val="00C95874"/>
    <w:rsid w:val="00C97F98"/>
    <w:rsid w:val="00CA20E8"/>
    <w:rsid w:val="00CA462F"/>
    <w:rsid w:val="00CA576E"/>
    <w:rsid w:val="00CA5AE0"/>
    <w:rsid w:val="00CA67AF"/>
    <w:rsid w:val="00CA6911"/>
    <w:rsid w:val="00CA734C"/>
    <w:rsid w:val="00CB3071"/>
    <w:rsid w:val="00CB6F52"/>
    <w:rsid w:val="00CB71A2"/>
    <w:rsid w:val="00CB7E60"/>
    <w:rsid w:val="00CC23BA"/>
    <w:rsid w:val="00CC3CF9"/>
    <w:rsid w:val="00CC4447"/>
    <w:rsid w:val="00CC67CC"/>
    <w:rsid w:val="00CD05A3"/>
    <w:rsid w:val="00CD144A"/>
    <w:rsid w:val="00CD35EE"/>
    <w:rsid w:val="00CD397C"/>
    <w:rsid w:val="00CD47E3"/>
    <w:rsid w:val="00CD4983"/>
    <w:rsid w:val="00CD5096"/>
    <w:rsid w:val="00CD5267"/>
    <w:rsid w:val="00CD639B"/>
    <w:rsid w:val="00CD6AEF"/>
    <w:rsid w:val="00CD6BEC"/>
    <w:rsid w:val="00CD75A7"/>
    <w:rsid w:val="00CE00F1"/>
    <w:rsid w:val="00CE3C30"/>
    <w:rsid w:val="00CE4587"/>
    <w:rsid w:val="00CE468F"/>
    <w:rsid w:val="00CE4F95"/>
    <w:rsid w:val="00CE59CD"/>
    <w:rsid w:val="00CF123A"/>
    <w:rsid w:val="00CF1464"/>
    <w:rsid w:val="00CF1790"/>
    <w:rsid w:val="00CF1BD0"/>
    <w:rsid w:val="00CF1EAB"/>
    <w:rsid w:val="00CF7594"/>
    <w:rsid w:val="00D01AE9"/>
    <w:rsid w:val="00D01B1B"/>
    <w:rsid w:val="00D024AA"/>
    <w:rsid w:val="00D02A26"/>
    <w:rsid w:val="00D02AAA"/>
    <w:rsid w:val="00D04AA5"/>
    <w:rsid w:val="00D04F08"/>
    <w:rsid w:val="00D062C4"/>
    <w:rsid w:val="00D07E4D"/>
    <w:rsid w:val="00D112FB"/>
    <w:rsid w:val="00D11C21"/>
    <w:rsid w:val="00D12C5B"/>
    <w:rsid w:val="00D13136"/>
    <w:rsid w:val="00D15B78"/>
    <w:rsid w:val="00D162EE"/>
    <w:rsid w:val="00D20AEF"/>
    <w:rsid w:val="00D20C52"/>
    <w:rsid w:val="00D213AF"/>
    <w:rsid w:val="00D23868"/>
    <w:rsid w:val="00D24C07"/>
    <w:rsid w:val="00D253C3"/>
    <w:rsid w:val="00D259F7"/>
    <w:rsid w:val="00D25F09"/>
    <w:rsid w:val="00D26BF4"/>
    <w:rsid w:val="00D27D0E"/>
    <w:rsid w:val="00D27FEE"/>
    <w:rsid w:val="00D336FE"/>
    <w:rsid w:val="00D33DEB"/>
    <w:rsid w:val="00D349F6"/>
    <w:rsid w:val="00D41030"/>
    <w:rsid w:val="00D4429D"/>
    <w:rsid w:val="00D47395"/>
    <w:rsid w:val="00D47606"/>
    <w:rsid w:val="00D50818"/>
    <w:rsid w:val="00D509A5"/>
    <w:rsid w:val="00D51206"/>
    <w:rsid w:val="00D5160C"/>
    <w:rsid w:val="00D51B2E"/>
    <w:rsid w:val="00D5250D"/>
    <w:rsid w:val="00D53AC5"/>
    <w:rsid w:val="00D54A6C"/>
    <w:rsid w:val="00D54D5D"/>
    <w:rsid w:val="00D556DE"/>
    <w:rsid w:val="00D55C1E"/>
    <w:rsid w:val="00D56965"/>
    <w:rsid w:val="00D57202"/>
    <w:rsid w:val="00D57384"/>
    <w:rsid w:val="00D60627"/>
    <w:rsid w:val="00D60E46"/>
    <w:rsid w:val="00D61FE4"/>
    <w:rsid w:val="00D63404"/>
    <w:rsid w:val="00D63DDB"/>
    <w:rsid w:val="00D64B8C"/>
    <w:rsid w:val="00D65591"/>
    <w:rsid w:val="00D65881"/>
    <w:rsid w:val="00D65E5C"/>
    <w:rsid w:val="00D668DC"/>
    <w:rsid w:val="00D66A87"/>
    <w:rsid w:val="00D66C1F"/>
    <w:rsid w:val="00D67BA2"/>
    <w:rsid w:val="00D70249"/>
    <w:rsid w:val="00D7136E"/>
    <w:rsid w:val="00D720A6"/>
    <w:rsid w:val="00D7253C"/>
    <w:rsid w:val="00D72901"/>
    <w:rsid w:val="00D72A27"/>
    <w:rsid w:val="00D72D1B"/>
    <w:rsid w:val="00D736B0"/>
    <w:rsid w:val="00D74637"/>
    <w:rsid w:val="00D75536"/>
    <w:rsid w:val="00D75A07"/>
    <w:rsid w:val="00D81123"/>
    <w:rsid w:val="00D815E0"/>
    <w:rsid w:val="00D81F42"/>
    <w:rsid w:val="00D84BF2"/>
    <w:rsid w:val="00D87666"/>
    <w:rsid w:val="00D92589"/>
    <w:rsid w:val="00D933CC"/>
    <w:rsid w:val="00D93E2C"/>
    <w:rsid w:val="00D958E3"/>
    <w:rsid w:val="00D95F69"/>
    <w:rsid w:val="00D96F0D"/>
    <w:rsid w:val="00D97651"/>
    <w:rsid w:val="00D97E4E"/>
    <w:rsid w:val="00DA09C6"/>
    <w:rsid w:val="00DA105B"/>
    <w:rsid w:val="00DA150C"/>
    <w:rsid w:val="00DA4509"/>
    <w:rsid w:val="00DA457E"/>
    <w:rsid w:val="00DA6450"/>
    <w:rsid w:val="00DA76ED"/>
    <w:rsid w:val="00DB0E28"/>
    <w:rsid w:val="00DB1B3E"/>
    <w:rsid w:val="00DB1C3E"/>
    <w:rsid w:val="00DB3822"/>
    <w:rsid w:val="00DB3F98"/>
    <w:rsid w:val="00DB471E"/>
    <w:rsid w:val="00DB67B6"/>
    <w:rsid w:val="00DB7CFF"/>
    <w:rsid w:val="00DB7EB8"/>
    <w:rsid w:val="00DC08CE"/>
    <w:rsid w:val="00DC2714"/>
    <w:rsid w:val="00DC4B2A"/>
    <w:rsid w:val="00DC4BDF"/>
    <w:rsid w:val="00DC650E"/>
    <w:rsid w:val="00DD2A06"/>
    <w:rsid w:val="00DD34A3"/>
    <w:rsid w:val="00DD4E4C"/>
    <w:rsid w:val="00DD5FA1"/>
    <w:rsid w:val="00DD6561"/>
    <w:rsid w:val="00DD67D2"/>
    <w:rsid w:val="00DD75C8"/>
    <w:rsid w:val="00DD7F83"/>
    <w:rsid w:val="00DE0BEB"/>
    <w:rsid w:val="00DE1775"/>
    <w:rsid w:val="00DE25B6"/>
    <w:rsid w:val="00DE2748"/>
    <w:rsid w:val="00DE4650"/>
    <w:rsid w:val="00DE5909"/>
    <w:rsid w:val="00DE5A37"/>
    <w:rsid w:val="00DE5F26"/>
    <w:rsid w:val="00DE73FE"/>
    <w:rsid w:val="00DE7FB4"/>
    <w:rsid w:val="00DE7FCE"/>
    <w:rsid w:val="00DF16FB"/>
    <w:rsid w:val="00DF1A24"/>
    <w:rsid w:val="00DF1AE7"/>
    <w:rsid w:val="00DF22A9"/>
    <w:rsid w:val="00DF2360"/>
    <w:rsid w:val="00DF28E7"/>
    <w:rsid w:val="00DF29E9"/>
    <w:rsid w:val="00DF3103"/>
    <w:rsid w:val="00DF3B6B"/>
    <w:rsid w:val="00DF3D57"/>
    <w:rsid w:val="00DF4A9B"/>
    <w:rsid w:val="00DF5358"/>
    <w:rsid w:val="00DF746C"/>
    <w:rsid w:val="00E00E66"/>
    <w:rsid w:val="00E00F43"/>
    <w:rsid w:val="00E01865"/>
    <w:rsid w:val="00E01A4A"/>
    <w:rsid w:val="00E03CC8"/>
    <w:rsid w:val="00E03F76"/>
    <w:rsid w:val="00E11059"/>
    <w:rsid w:val="00E11968"/>
    <w:rsid w:val="00E1214F"/>
    <w:rsid w:val="00E139AA"/>
    <w:rsid w:val="00E13D8C"/>
    <w:rsid w:val="00E1591E"/>
    <w:rsid w:val="00E168D5"/>
    <w:rsid w:val="00E21CB7"/>
    <w:rsid w:val="00E21D4C"/>
    <w:rsid w:val="00E26A8C"/>
    <w:rsid w:val="00E27B67"/>
    <w:rsid w:val="00E308BD"/>
    <w:rsid w:val="00E32346"/>
    <w:rsid w:val="00E330A1"/>
    <w:rsid w:val="00E341B0"/>
    <w:rsid w:val="00E373C5"/>
    <w:rsid w:val="00E378BF"/>
    <w:rsid w:val="00E40A97"/>
    <w:rsid w:val="00E4185D"/>
    <w:rsid w:val="00E42B2C"/>
    <w:rsid w:val="00E42D37"/>
    <w:rsid w:val="00E4356D"/>
    <w:rsid w:val="00E435CA"/>
    <w:rsid w:val="00E47E3F"/>
    <w:rsid w:val="00E47FEB"/>
    <w:rsid w:val="00E50A1A"/>
    <w:rsid w:val="00E5213D"/>
    <w:rsid w:val="00E523C9"/>
    <w:rsid w:val="00E5257E"/>
    <w:rsid w:val="00E54F43"/>
    <w:rsid w:val="00E56043"/>
    <w:rsid w:val="00E56393"/>
    <w:rsid w:val="00E57F76"/>
    <w:rsid w:val="00E617E6"/>
    <w:rsid w:val="00E61862"/>
    <w:rsid w:val="00E6481E"/>
    <w:rsid w:val="00E65C33"/>
    <w:rsid w:val="00E67AF0"/>
    <w:rsid w:val="00E72322"/>
    <w:rsid w:val="00E800DF"/>
    <w:rsid w:val="00E8070F"/>
    <w:rsid w:val="00E8128C"/>
    <w:rsid w:val="00E84A6D"/>
    <w:rsid w:val="00E87372"/>
    <w:rsid w:val="00E90D90"/>
    <w:rsid w:val="00E90FF8"/>
    <w:rsid w:val="00E929AC"/>
    <w:rsid w:val="00E929B4"/>
    <w:rsid w:val="00E96408"/>
    <w:rsid w:val="00E9666C"/>
    <w:rsid w:val="00EA20E3"/>
    <w:rsid w:val="00EA3824"/>
    <w:rsid w:val="00EA39B1"/>
    <w:rsid w:val="00EA4371"/>
    <w:rsid w:val="00EA7E65"/>
    <w:rsid w:val="00EB042D"/>
    <w:rsid w:val="00EB237A"/>
    <w:rsid w:val="00EB24E6"/>
    <w:rsid w:val="00EB31F3"/>
    <w:rsid w:val="00EB4A9E"/>
    <w:rsid w:val="00EB4FD5"/>
    <w:rsid w:val="00EB6A32"/>
    <w:rsid w:val="00EB6E1C"/>
    <w:rsid w:val="00EB74ED"/>
    <w:rsid w:val="00EB7D9C"/>
    <w:rsid w:val="00EC05D7"/>
    <w:rsid w:val="00EC20F9"/>
    <w:rsid w:val="00EC223D"/>
    <w:rsid w:val="00EC34C1"/>
    <w:rsid w:val="00EC4CEE"/>
    <w:rsid w:val="00EC5764"/>
    <w:rsid w:val="00EC6367"/>
    <w:rsid w:val="00EC742C"/>
    <w:rsid w:val="00ED0B6F"/>
    <w:rsid w:val="00ED21D3"/>
    <w:rsid w:val="00ED2C93"/>
    <w:rsid w:val="00ED3C18"/>
    <w:rsid w:val="00ED6A61"/>
    <w:rsid w:val="00ED6D44"/>
    <w:rsid w:val="00ED7F7C"/>
    <w:rsid w:val="00EE12F0"/>
    <w:rsid w:val="00EE2395"/>
    <w:rsid w:val="00EE3AC8"/>
    <w:rsid w:val="00EE3C2D"/>
    <w:rsid w:val="00EE5622"/>
    <w:rsid w:val="00EE5888"/>
    <w:rsid w:val="00EE7C7C"/>
    <w:rsid w:val="00EE7EDE"/>
    <w:rsid w:val="00EF026B"/>
    <w:rsid w:val="00EF0408"/>
    <w:rsid w:val="00EF09AA"/>
    <w:rsid w:val="00EF2390"/>
    <w:rsid w:val="00EF282B"/>
    <w:rsid w:val="00EF4993"/>
    <w:rsid w:val="00F01E1B"/>
    <w:rsid w:val="00F04A5B"/>
    <w:rsid w:val="00F0582D"/>
    <w:rsid w:val="00F11322"/>
    <w:rsid w:val="00F13EC2"/>
    <w:rsid w:val="00F143E1"/>
    <w:rsid w:val="00F158BB"/>
    <w:rsid w:val="00F16387"/>
    <w:rsid w:val="00F204E7"/>
    <w:rsid w:val="00F21022"/>
    <w:rsid w:val="00F22041"/>
    <w:rsid w:val="00F2297A"/>
    <w:rsid w:val="00F24D66"/>
    <w:rsid w:val="00F32447"/>
    <w:rsid w:val="00F33F66"/>
    <w:rsid w:val="00F3418A"/>
    <w:rsid w:val="00F344FF"/>
    <w:rsid w:val="00F352D7"/>
    <w:rsid w:val="00F37D68"/>
    <w:rsid w:val="00F412DA"/>
    <w:rsid w:val="00F41AB6"/>
    <w:rsid w:val="00F43B81"/>
    <w:rsid w:val="00F43EEC"/>
    <w:rsid w:val="00F44FD1"/>
    <w:rsid w:val="00F45CA6"/>
    <w:rsid w:val="00F46850"/>
    <w:rsid w:val="00F504AB"/>
    <w:rsid w:val="00F50620"/>
    <w:rsid w:val="00F50A4A"/>
    <w:rsid w:val="00F50C5A"/>
    <w:rsid w:val="00F53251"/>
    <w:rsid w:val="00F532E8"/>
    <w:rsid w:val="00F532FA"/>
    <w:rsid w:val="00F537BC"/>
    <w:rsid w:val="00F53D2A"/>
    <w:rsid w:val="00F541F3"/>
    <w:rsid w:val="00F55705"/>
    <w:rsid w:val="00F57135"/>
    <w:rsid w:val="00F603A0"/>
    <w:rsid w:val="00F66553"/>
    <w:rsid w:val="00F66DBC"/>
    <w:rsid w:val="00F67D7F"/>
    <w:rsid w:val="00F70714"/>
    <w:rsid w:val="00F7084A"/>
    <w:rsid w:val="00F714E1"/>
    <w:rsid w:val="00F722A9"/>
    <w:rsid w:val="00F726DF"/>
    <w:rsid w:val="00F737B0"/>
    <w:rsid w:val="00F74B4A"/>
    <w:rsid w:val="00F74F05"/>
    <w:rsid w:val="00F751AC"/>
    <w:rsid w:val="00F753D6"/>
    <w:rsid w:val="00F76668"/>
    <w:rsid w:val="00F8026E"/>
    <w:rsid w:val="00F80436"/>
    <w:rsid w:val="00F81C81"/>
    <w:rsid w:val="00F820AE"/>
    <w:rsid w:val="00F8484D"/>
    <w:rsid w:val="00F85306"/>
    <w:rsid w:val="00F85DE1"/>
    <w:rsid w:val="00F86FFF"/>
    <w:rsid w:val="00F8743E"/>
    <w:rsid w:val="00F8768F"/>
    <w:rsid w:val="00F9097B"/>
    <w:rsid w:val="00F9106E"/>
    <w:rsid w:val="00F96D7B"/>
    <w:rsid w:val="00FA12C2"/>
    <w:rsid w:val="00FA265A"/>
    <w:rsid w:val="00FA3ECC"/>
    <w:rsid w:val="00FA5A92"/>
    <w:rsid w:val="00FA615B"/>
    <w:rsid w:val="00FB1DC6"/>
    <w:rsid w:val="00FB3729"/>
    <w:rsid w:val="00FB556A"/>
    <w:rsid w:val="00FB68B4"/>
    <w:rsid w:val="00FB6C14"/>
    <w:rsid w:val="00FC1C40"/>
    <w:rsid w:val="00FC2688"/>
    <w:rsid w:val="00FC2E8E"/>
    <w:rsid w:val="00FC31C5"/>
    <w:rsid w:val="00FC58D6"/>
    <w:rsid w:val="00FC7B5F"/>
    <w:rsid w:val="00FD02B3"/>
    <w:rsid w:val="00FD15B9"/>
    <w:rsid w:val="00FD1C6B"/>
    <w:rsid w:val="00FD348F"/>
    <w:rsid w:val="00FD46E8"/>
    <w:rsid w:val="00FD5146"/>
    <w:rsid w:val="00FD521F"/>
    <w:rsid w:val="00FD5566"/>
    <w:rsid w:val="00FD560A"/>
    <w:rsid w:val="00FD7491"/>
    <w:rsid w:val="00FD78AC"/>
    <w:rsid w:val="00FE0DCD"/>
    <w:rsid w:val="00FE5857"/>
    <w:rsid w:val="00FE61D8"/>
    <w:rsid w:val="00FE76A8"/>
    <w:rsid w:val="00FE7E2F"/>
    <w:rsid w:val="00FF09FD"/>
    <w:rsid w:val="00FF1A3E"/>
    <w:rsid w:val="00FF2C7F"/>
    <w:rsid w:val="00FF2D3E"/>
    <w:rsid w:val="00FF425E"/>
    <w:rsid w:val="00FF54D4"/>
    <w:rsid w:val="00FF556B"/>
    <w:rsid w:val="00FF62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1CB"/>
    <w:pPr>
      <w:spacing w:after="200" w:line="276" w:lineRule="auto"/>
    </w:pPr>
    <w:rPr>
      <w:rFonts w:ascii="Times New Roman" w:eastAsia="SimSun" w:hAnsi="Times New Roman"/>
      <w:sz w:val="24"/>
      <w:szCs w:val="22"/>
      <w:lang w:eastAsia="zh-CN"/>
    </w:rPr>
  </w:style>
  <w:style w:type="paragraph" w:styleId="Heading1">
    <w:name w:val="heading 1"/>
    <w:basedOn w:val="Normal"/>
    <w:next w:val="Normal"/>
    <w:link w:val="Heading1Char"/>
    <w:uiPriority w:val="99"/>
    <w:qFormat/>
    <w:rsid w:val="00D50818"/>
    <w:pPr>
      <w:outlineLvl w:val="0"/>
    </w:pPr>
    <w:rPr>
      <w:b/>
      <w:szCs w:val="24"/>
    </w:rPr>
  </w:style>
  <w:style w:type="paragraph" w:styleId="Heading2">
    <w:name w:val="heading 2"/>
    <w:basedOn w:val="Normal"/>
    <w:next w:val="Normal"/>
    <w:link w:val="Heading2Char"/>
    <w:uiPriority w:val="99"/>
    <w:qFormat/>
    <w:rsid w:val="00F67D7F"/>
    <w:pPr>
      <w:outlineLvl w:val="1"/>
    </w:pPr>
    <w:rPr>
      <w:b/>
    </w:rPr>
  </w:style>
  <w:style w:type="paragraph" w:styleId="Heading3">
    <w:name w:val="heading 3"/>
    <w:basedOn w:val="Normal"/>
    <w:next w:val="Normal"/>
    <w:link w:val="Heading3Char"/>
    <w:qFormat/>
    <w:locked/>
    <w:rsid w:val="001F31CB"/>
    <w:pPr>
      <w:outlineLvl w:val="2"/>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50818"/>
    <w:rPr>
      <w:rFonts w:ascii="Times New Roman" w:eastAsia="SimSun" w:hAnsi="Times New Roman"/>
      <w:b/>
      <w:sz w:val="24"/>
      <w:szCs w:val="24"/>
      <w:lang w:eastAsia="zh-CN"/>
    </w:rPr>
  </w:style>
  <w:style w:type="character" w:customStyle="1" w:styleId="Heading2Char">
    <w:name w:val="Heading 2 Char"/>
    <w:link w:val="Heading2"/>
    <w:uiPriority w:val="99"/>
    <w:locked/>
    <w:rsid w:val="00F67D7F"/>
    <w:rPr>
      <w:rFonts w:ascii="Times New Roman" w:eastAsia="SimSun" w:hAnsi="Times New Roman"/>
      <w:b/>
      <w:sz w:val="24"/>
      <w:szCs w:val="22"/>
      <w:lang w:eastAsia="zh-CN"/>
    </w:rPr>
  </w:style>
  <w:style w:type="paragraph" w:styleId="PlainText">
    <w:name w:val="Plain Text"/>
    <w:basedOn w:val="Normal"/>
    <w:link w:val="PlainTextChar"/>
    <w:uiPriority w:val="99"/>
    <w:rsid w:val="00B1752A"/>
    <w:pPr>
      <w:spacing w:after="0" w:line="240" w:lineRule="auto"/>
    </w:pPr>
    <w:rPr>
      <w:rFonts w:eastAsia="Calibri"/>
      <w:sz w:val="21"/>
      <w:szCs w:val="21"/>
    </w:rPr>
  </w:style>
  <w:style w:type="character" w:customStyle="1" w:styleId="PlainTextChar">
    <w:name w:val="Plain Text Char"/>
    <w:link w:val="PlainText"/>
    <w:uiPriority w:val="99"/>
    <w:locked/>
    <w:rsid w:val="00B1752A"/>
    <w:rPr>
      <w:rFonts w:ascii="Calibri" w:hAnsi="Calibri" w:cs="Times New Roman"/>
      <w:sz w:val="21"/>
      <w:szCs w:val="21"/>
    </w:rPr>
  </w:style>
  <w:style w:type="paragraph" w:styleId="Quote">
    <w:name w:val="Quote"/>
    <w:basedOn w:val="Normal"/>
    <w:next w:val="Normal"/>
    <w:link w:val="QuoteChar"/>
    <w:uiPriority w:val="99"/>
    <w:qFormat/>
    <w:rsid w:val="00B1752A"/>
    <w:rPr>
      <w:i/>
      <w:iCs/>
      <w:color w:val="000000"/>
      <w:sz w:val="20"/>
      <w:szCs w:val="20"/>
    </w:rPr>
  </w:style>
  <w:style w:type="character" w:customStyle="1" w:styleId="QuoteChar">
    <w:name w:val="Quote Char"/>
    <w:link w:val="Quote"/>
    <w:uiPriority w:val="99"/>
    <w:locked/>
    <w:rsid w:val="00B1752A"/>
    <w:rPr>
      <w:rFonts w:eastAsia="SimSun" w:cs="Times New Roman"/>
      <w:i/>
      <w:iCs/>
      <w:color w:val="000000"/>
      <w:lang w:eastAsia="zh-CN"/>
    </w:rPr>
  </w:style>
  <w:style w:type="paragraph" w:customStyle="1" w:styleId="FigureLabel">
    <w:name w:val="Figure Label"/>
    <w:basedOn w:val="PlainText"/>
    <w:link w:val="FigureLabelChar"/>
    <w:uiPriority w:val="99"/>
    <w:rsid w:val="00B1752A"/>
    <w:pPr>
      <w:keepNext/>
    </w:pPr>
    <w:rPr>
      <w:b/>
    </w:rPr>
  </w:style>
  <w:style w:type="character" w:customStyle="1" w:styleId="FigureLabelChar">
    <w:name w:val="Figure Label Char"/>
    <w:link w:val="FigureLabel"/>
    <w:uiPriority w:val="99"/>
    <w:locked/>
    <w:rsid w:val="00B1752A"/>
    <w:rPr>
      <w:rFonts w:ascii="Calibri" w:hAnsi="Calibri" w:cs="Times New Roman"/>
      <w:b/>
      <w:sz w:val="21"/>
      <w:szCs w:val="21"/>
    </w:rPr>
  </w:style>
  <w:style w:type="paragraph" w:styleId="BalloonText">
    <w:name w:val="Balloon Text"/>
    <w:basedOn w:val="Normal"/>
    <w:link w:val="BalloonTextChar"/>
    <w:uiPriority w:val="99"/>
    <w:semiHidden/>
    <w:rsid w:val="00B1752A"/>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B1752A"/>
    <w:rPr>
      <w:rFonts w:ascii="Tahoma" w:eastAsia="SimSun" w:hAnsi="Tahoma" w:cs="Tahoma"/>
      <w:sz w:val="16"/>
      <w:szCs w:val="16"/>
      <w:lang w:eastAsia="zh-CN"/>
    </w:rPr>
  </w:style>
  <w:style w:type="paragraph" w:styleId="ListParagraph">
    <w:name w:val="List Paragraph"/>
    <w:basedOn w:val="Normal"/>
    <w:uiPriority w:val="34"/>
    <w:qFormat/>
    <w:rsid w:val="000A23EA"/>
    <w:pPr>
      <w:ind w:left="720"/>
      <w:contextualSpacing/>
    </w:pPr>
    <w:rPr>
      <w:rFonts w:eastAsia="Calibri"/>
      <w:lang w:eastAsia="en-US"/>
    </w:rPr>
  </w:style>
  <w:style w:type="paragraph" w:styleId="Caption">
    <w:name w:val="caption"/>
    <w:basedOn w:val="Normal"/>
    <w:next w:val="Normal"/>
    <w:uiPriority w:val="99"/>
    <w:qFormat/>
    <w:rsid w:val="000B7897"/>
    <w:pPr>
      <w:spacing w:line="240" w:lineRule="auto"/>
    </w:pPr>
    <w:rPr>
      <w:b/>
      <w:bCs/>
      <w:color w:val="4F81BD"/>
      <w:sz w:val="18"/>
      <w:szCs w:val="18"/>
    </w:rPr>
  </w:style>
  <w:style w:type="character" w:styleId="CommentReference">
    <w:name w:val="annotation reference"/>
    <w:uiPriority w:val="99"/>
    <w:semiHidden/>
    <w:unhideWhenUsed/>
    <w:rsid w:val="00B15BAF"/>
    <w:rPr>
      <w:sz w:val="16"/>
      <w:szCs w:val="16"/>
    </w:rPr>
  </w:style>
  <w:style w:type="paragraph" w:styleId="CommentText">
    <w:name w:val="annotation text"/>
    <w:basedOn w:val="Normal"/>
    <w:link w:val="CommentTextChar"/>
    <w:uiPriority w:val="99"/>
    <w:unhideWhenUsed/>
    <w:rsid w:val="00B15BAF"/>
    <w:rPr>
      <w:sz w:val="20"/>
      <w:szCs w:val="20"/>
    </w:rPr>
  </w:style>
  <w:style w:type="character" w:customStyle="1" w:styleId="CommentTextChar">
    <w:name w:val="Comment Text Char"/>
    <w:link w:val="CommentText"/>
    <w:uiPriority w:val="99"/>
    <w:rsid w:val="00B15BAF"/>
    <w:rPr>
      <w:rFonts w:eastAsia="SimSun"/>
      <w:sz w:val="20"/>
      <w:szCs w:val="20"/>
    </w:rPr>
  </w:style>
  <w:style w:type="paragraph" w:styleId="CommentSubject">
    <w:name w:val="annotation subject"/>
    <w:basedOn w:val="CommentText"/>
    <w:next w:val="CommentText"/>
    <w:link w:val="CommentSubjectChar"/>
    <w:uiPriority w:val="99"/>
    <w:semiHidden/>
    <w:unhideWhenUsed/>
    <w:rsid w:val="00B15BAF"/>
    <w:rPr>
      <w:b/>
      <w:bCs/>
    </w:rPr>
  </w:style>
  <w:style w:type="character" w:customStyle="1" w:styleId="CommentSubjectChar">
    <w:name w:val="Comment Subject Char"/>
    <w:link w:val="CommentSubject"/>
    <w:uiPriority w:val="99"/>
    <w:semiHidden/>
    <w:rsid w:val="00B15BAF"/>
    <w:rPr>
      <w:rFonts w:eastAsia="SimSun"/>
      <w:b/>
      <w:bCs/>
      <w:sz w:val="20"/>
      <w:szCs w:val="20"/>
    </w:rPr>
  </w:style>
  <w:style w:type="character" w:styleId="Hyperlink">
    <w:name w:val="Hyperlink"/>
    <w:basedOn w:val="DefaultParagraphFont"/>
    <w:uiPriority w:val="99"/>
    <w:unhideWhenUsed/>
    <w:rsid w:val="00630ED9"/>
    <w:rPr>
      <w:color w:val="0000FF" w:themeColor="hyperlink"/>
      <w:u w:val="single"/>
    </w:rPr>
  </w:style>
  <w:style w:type="table" w:styleId="TableGrid">
    <w:name w:val="Table Grid"/>
    <w:basedOn w:val="TableNormal"/>
    <w:locked/>
    <w:rsid w:val="000C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05A3"/>
    <w:rPr>
      <w:rFonts w:eastAsia="SimSun"/>
      <w:sz w:val="22"/>
      <w:szCs w:val="22"/>
      <w:lang w:eastAsia="zh-CN"/>
    </w:rPr>
  </w:style>
  <w:style w:type="paragraph" w:styleId="Header">
    <w:name w:val="header"/>
    <w:basedOn w:val="Normal"/>
    <w:link w:val="HeaderChar"/>
    <w:uiPriority w:val="99"/>
    <w:unhideWhenUsed/>
    <w:rsid w:val="003267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7A0"/>
    <w:rPr>
      <w:rFonts w:eastAsia="SimSun"/>
      <w:sz w:val="22"/>
      <w:szCs w:val="22"/>
      <w:lang w:eastAsia="zh-CN"/>
    </w:rPr>
  </w:style>
  <w:style w:type="paragraph" w:styleId="Footer">
    <w:name w:val="footer"/>
    <w:basedOn w:val="Normal"/>
    <w:link w:val="FooterChar"/>
    <w:uiPriority w:val="99"/>
    <w:unhideWhenUsed/>
    <w:rsid w:val="00326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7A0"/>
    <w:rPr>
      <w:rFonts w:eastAsia="SimSun"/>
      <w:sz w:val="22"/>
      <w:szCs w:val="22"/>
      <w:lang w:eastAsia="zh-CN"/>
    </w:rPr>
  </w:style>
  <w:style w:type="paragraph" w:styleId="NoSpacing">
    <w:name w:val="No Spacing"/>
    <w:uiPriority w:val="1"/>
    <w:qFormat/>
    <w:rsid w:val="003C662F"/>
    <w:rPr>
      <w:rFonts w:ascii="Times New Roman" w:eastAsia="SimSun" w:hAnsi="Times New Roman"/>
      <w:sz w:val="24"/>
      <w:szCs w:val="22"/>
      <w:lang w:eastAsia="zh-CN"/>
    </w:rPr>
  </w:style>
  <w:style w:type="character" w:customStyle="1" w:styleId="Heading3Char">
    <w:name w:val="Heading 3 Char"/>
    <w:basedOn w:val="DefaultParagraphFont"/>
    <w:link w:val="Heading3"/>
    <w:rsid w:val="001F31CB"/>
    <w:rPr>
      <w:rFonts w:ascii="Times New Roman" w:eastAsia="SimSun" w:hAnsi="Times New Roman"/>
      <w:b/>
      <w:i/>
      <w:sz w:val="24"/>
      <w:szCs w:val="22"/>
      <w:lang w:eastAsia="zh-CN"/>
    </w:rPr>
  </w:style>
  <w:style w:type="character" w:customStyle="1" w:styleId="name">
    <w:name w:val="name"/>
    <w:basedOn w:val="DefaultParagraphFont"/>
    <w:rsid w:val="00FD560A"/>
  </w:style>
  <w:style w:type="character" w:styleId="HTMLCite">
    <w:name w:val="HTML Cite"/>
    <w:basedOn w:val="DefaultParagraphFont"/>
    <w:uiPriority w:val="99"/>
    <w:semiHidden/>
    <w:unhideWhenUsed/>
    <w:rsid w:val="00FD560A"/>
    <w:rPr>
      <w:i/>
      <w:iCs/>
    </w:rPr>
  </w:style>
  <w:style w:type="character" w:customStyle="1" w:styleId="slug-pub-date">
    <w:name w:val="slug-pub-date"/>
    <w:basedOn w:val="DefaultParagraphFont"/>
    <w:rsid w:val="00FD560A"/>
  </w:style>
  <w:style w:type="character" w:customStyle="1" w:styleId="slug-vol">
    <w:name w:val="slug-vol"/>
    <w:basedOn w:val="DefaultParagraphFont"/>
    <w:rsid w:val="00FD560A"/>
  </w:style>
  <w:style w:type="character" w:customStyle="1" w:styleId="slug-issue">
    <w:name w:val="slug-issue"/>
    <w:basedOn w:val="DefaultParagraphFont"/>
    <w:rsid w:val="00FD560A"/>
  </w:style>
  <w:style w:type="character" w:customStyle="1" w:styleId="slug-pages">
    <w:name w:val="slug-pages"/>
    <w:basedOn w:val="DefaultParagraphFont"/>
    <w:rsid w:val="00FD560A"/>
  </w:style>
  <w:style w:type="character" w:styleId="PlaceholderText">
    <w:name w:val="Placeholder Text"/>
    <w:basedOn w:val="DefaultParagraphFont"/>
    <w:uiPriority w:val="99"/>
    <w:semiHidden/>
    <w:rsid w:val="002503AF"/>
    <w:rPr>
      <w:color w:val="808080"/>
    </w:rPr>
  </w:style>
  <w:style w:type="paragraph" w:styleId="FootnoteText">
    <w:name w:val="footnote text"/>
    <w:basedOn w:val="Normal"/>
    <w:link w:val="FootnoteTextChar"/>
    <w:uiPriority w:val="99"/>
    <w:semiHidden/>
    <w:unhideWhenUsed/>
    <w:rsid w:val="006F18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18B5"/>
    <w:rPr>
      <w:rFonts w:ascii="Times New Roman" w:eastAsia="SimSun" w:hAnsi="Times New Roman"/>
      <w:lang w:eastAsia="zh-CN"/>
    </w:rPr>
  </w:style>
  <w:style w:type="character" w:styleId="FootnoteReference">
    <w:name w:val="footnote reference"/>
    <w:basedOn w:val="DefaultParagraphFont"/>
    <w:uiPriority w:val="99"/>
    <w:semiHidden/>
    <w:unhideWhenUsed/>
    <w:rsid w:val="006F18B5"/>
    <w:rPr>
      <w:vertAlign w:val="superscript"/>
    </w:rPr>
  </w:style>
  <w:style w:type="paragraph" w:styleId="EndnoteText">
    <w:name w:val="endnote text"/>
    <w:basedOn w:val="Normal"/>
    <w:link w:val="EndnoteTextChar"/>
    <w:uiPriority w:val="99"/>
    <w:unhideWhenUsed/>
    <w:rsid w:val="007532FC"/>
    <w:pPr>
      <w:tabs>
        <w:tab w:val="left" w:pos="450"/>
      </w:tabs>
      <w:spacing w:after="0" w:line="480" w:lineRule="auto"/>
      <w:ind w:left="450" w:hanging="450"/>
    </w:pPr>
    <w:rPr>
      <w:szCs w:val="24"/>
    </w:rPr>
  </w:style>
  <w:style w:type="character" w:customStyle="1" w:styleId="EndnoteTextChar">
    <w:name w:val="Endnote Text Char"/>
    <w:basedOn w:val="DefaultParagraphFont"/>
    <w:link w:val="EndnoteText"/>
    <w:uiPriority w:val="99"/>
    <w:rsid w:val="007532FC"/>
    <w:rPr>
      <w:rFonts w:ascii="Times New Roman" w:eastAsia="SimSun" w:hAnsi="Times New Roman"/>
      <w:sz w:val="24"/>
      <w:szCs w:val="24"/>
      <w:lang w:eastAsia="zh-CN"/>
    </w:rPr>
  </w:style>
  <w:style w:type="character" w:styleId="EndnoteReference">
    <w:name w:val="endnote reference"/>
    <w:basedOn w:val="DefaultParagraphFont"/>
    <w:uiPriority w:val="99"/>
    <w:semiHidden/>
    <w:unhideWhenUsed/>
    <w:rsid w:val="006F18B5"/>
    <w:rPr>
      <w:vertAlign w:val="superscript"/>
    </w:rPr>
  </w:style>
  <w:style w:type="character" w:styleId="FollowedHyperlink">
    <w:name w:val="FollowedHyperlink"/>
    <w:basedOn w:val="DefaultParagraphFont"/>
    <w:uiPriority w:val="99"/>
    <w:semiHidden/>
    <w:unhideWhenUsed/>
    <w:rsid w:val="00B2419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1"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1CB"/>
    <w:pPr>
      <w:spacing w:after="200" w:line="276" w:lineRule="auto"/>
    </w:pPr>
    <w:rPr>
      <w:rFonts w:ascii="Times New Roman" w:eastAsia="SimSun" w:hAnsi="Times New Roman"/>
      <w:sz w:val="24"/>
      <w:szCs w:val="22"/>
      <w:lang w:eastAsia="zh-CN"/>
    </w:rPr>
  </w:style>
  <w:style w:type="paragraph" w:styleId="Heading1">
    <w:name w:val="heading 1"/>
    <w:basedOn w:val="Normal"/>
    <w:next w:val="Normal"/>
    <w:link w:val="Heading1Char"/>
    <w:uiPriority w:val="99"/>
    <w:qFormat/>
    <w:rsid w:val="00D50818"/>
    <w:pPr>
      <w:outlineLvl w:val="0"/>
    </w:pPr>
    <w:rPr>
      <w:b/>
      <w:szCs w:val="24"/>
    </w:rPr>
  </w:style>
  <w:style w:type="paragraph" w:styleId="Heading2">
    <w:name w:val="heading 2"/>
    <w:basedOn w:val="Normal"/>
    <w:next w:val="Normal"/>
    <w:link w:val="Heading2Char"/>
    <w:uiPriority w:val="99"/>
    <w:qFormat/>
    <w:rsid w:val="00F67D7F"/>
    <w:pPr>
      <w:outlineLvl w:val="1"/>
    </w:pPr>
    <w:rPr>
      <w:b/>
    </w:rPr>
  </w:style>
  <w:style w:type="paragraph" w:styleId="Heading3">
    <w:name w:val="heading 3"/>
    <w:basedOn w:val="Normal"/>
    <w:next w:val="Normal"/>
    <w:link w:val="Heading3Char"/>
    <w:qFormat/>
    <w:locked/>
    <w:rsid w:val="001F31CB"/>
    <w:pPr>
      <w:outlineLvl w:val="2"/>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50818"/>
    <w:rPr>
      <w:rFonts w:ascii="Times New Roman" w:eastAsia="SimSun" w:hAnsi="Times New Roman"/>
      <w:b/>
      <w:sz w:val="24"/>
      <w:szCs w:val="24"/>
      <w:lang w:eastAsia="zh-CN"/>
    </w:rPr>
  </w:style>
  <w:style w:type="character" w:customStyle="1" w:styleId="Heading2Char">
    <w:name w:val="Heading 2 Char"/>
    <w:link w:val="Heading2"/>
    <w:uiPriority w:val="99"/>
    <w:locked/>
    <w:rsid w:val="00F67D7F"/>
    <w:rPr>
      <w:rFonts w:ascii="Times New Roman" w:eastAsia="SimSun" w:hAnsi="Times New Roman"/>
      <w:b/>
      <w:sz w:val="24"/>
      <w:szCs w:val="22"/>
      <w:lang w:eastAsia="zh-CN"/>
    </w:rPr>
  </w:style>
  <w:style w:type="paragraph" w:styleId="PlainText">
    <w:name w:val="Plain Text"/>
    <w:basedOn w:val="Normal"/>
    <w:link w:val="PlainTextChar"/>
    <w:uiPriority w:val="99"/>
    <w:rsid w:val="00B1752A"/>
    <w:pPr>
      <w:spacing w:after="0" w:line="240" w:lineRule="auto"/>
    </w:pPr>
    <w:rPr>
      <w:rFonts w:eastAsia="Calibri"/>
      <w:sz w:val="21"/>
      <w:szCs w:val="21"/>
    </w:rPr>
  </w:style>
  <w:style w:type="character" w:customStyle="1" w:styleId="PlainTextChar">
    <w:name w:val="Plain Text Char"/>
    <w:link w:val="PlainText"/>
    <w:uiPriority w:val="99"/>
    <w:locked/>
    <w:rsid w:val="00B1752A"/>
    <w:rPr>
      <w:rFonts w:ascii="Calibri" w:hAnsi="Calibri" w:cs="Times New Roman"/>
      <w:sz w:val="21"/>
      <w:szCs w:val="21"/>
    </w:rPr>
  </w:style>
  <w:style w:type="paragraph" w:styleId="Quote">
    <w:name w:val="Quote"/>
    <w:basedOn w:val="Normal"/>
    <w:next w:val="Normal"/>
    <w:link w:val="QuoteChar"/>
    <w:uiPriority w:val="99"/>
    <w:qFormat/>
    <w:rsid w:val="00B1752A"/>
    <w:rPr>
      <w:i/>
      <w:iCs/>
      <w:color w:val="000000"/>
      <w:sz w:val="20"/>
      <w:szCs w:val="20"/>
    </w:rPr>
  </w:style>
  <w:style w:type="character" w:customStyle="1" w:styleId="QuoteChar">
    <w:name w:val="Quote Char"/>
    <w:link w:val="Quote"/>
    <w:uiPriority w:val="99"/>
    <w:locked/>
    <w:rsid w:val="00B1752A"/>
    <w:rPr>
      <w:rFonts w:eastAsia="SimSun" w:cs="Times New Roman"/>
      <w:i/>
      <w:iCs/>
      <w:color w:val="000000"/>
      <w:lang w:eastAsia="zh-CN"/>
    </w:rPr>
  </w:style>
  <w:style w:type="paragraph" w:customStyle="1" w:styleId="FigureLabel">
    <w:name w:val="Figure Label"/>
    <w:basedOn w:val="PlainText"/>
    <w:link w:val="FigureLabelChar"/>
    <w:uiPriority w:val="99"/>
    <w:rsid w:val="00B1752A"/>
    <w:pPr>
      <w:keepNext/>
    </w:pPr>
    <w:rPr>
      <w:b/>
    </w:rPr>
  </w:style>
  <w:style w:type="character" w:customStyle="1" w:styleId="FigureLabelChar">
    <w:name w:val="Figure Label Char"/>
    <w:link w:val="FigureLabel"/>
    <w:uiPriority w:val="99"/>
    <w:locked/>
    <w:rsid w:val="00B1752A"/>
    <w:rPr>
      <w:rFonts w:ascii="Calibri" w:hAnsi="Calibri" w:cs="Times New Roman"/>
      <w:b/>
      <w:sz w:val="21"/>
      <w:szCs w:val="21"/>
    </w:rPr>
  </w:style>
  <w:style w:type="paragraph" w:styleId="BalloonText">
    <w:name w:val="Balloon Text"/>
    <w:basedOn w:val="Normal"/>
    <w:link w:val="BalloonTextChar"/>
    <w:uiPriority w:val="99"/>
    <w:semiHidden/>
    <w:rsid w:val="00B1752A"/>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B1752A"/>
    <w:rPr>
      <w:rFonts w:ascii="Tahoma" w:eastAsia="SimSun" w:hAnsi="Tahoma" w:cs="Tahoma"/>
      <w:sz w:val="16"/>
      <w:szCs w:val="16"/>
      <w:lang w:eastAsia="zh-CN"/>
    </w:rPr>
  </w:style>
  <w:style w:type="paragraph" w:styleId="ListParagraph">
    <w:name w:val="List Paragraph"/>
    <w:basedOn w:val="Normal"/>
    <w:uiPriority w:val="34"/>
    <w:qFormat/>
    <w:rsid w:val="000A23EA"/>
    <w:pPr>
      <w:ind w:left="720"/>
      <w:contextualSpacing/>
    </w:pPr>
    <w:rPr>
      <w:rFonts w:eastAsia="Calibri"/>
      <w:lang w:eastAsia="en-US"/>
    </w:rPr>
  </w:style>
  <w:style w:type="paragraph" w:styleId="Caption">
    <w:name w:val="caption"/>
    <w:basedOn w:val="Normal"/>
    <w:next w:val="Normal"/>
    <w:uiPriority w:val="99"/>
    <w:qFormat/>
    <w:rsid w:val="000B7897"/>
    <w:pPr>
      <w:spacing w:line="240" w:lineRule="auto"/>
    </w:pPr>
    <w:rPr>
      <w:b/>
      <w:bCs/>
      <w:color w:val="4F81BD"/>
      <w:sz w:val="18"/>
      <w:szCs w:val="18"/>
    </w:rPr>
  </w:style>
  <w:style w:type="character" w:styleId="CommentReference">
    <w:name w:val="annotation reference"/>
    <w:uiPriority w:val="99"/>
    <w:semiHidden/>
    <w:unhideWhenUsed/>
    <w:rsid w:val="00B15BAF"/>
    <w:rPr>
      <w:sz w:val="16"/>
      <w:szCs w:val="16"/>
    </w:rPr>
  </w:style>
  <w:style w:type="paragraph" w:styleId="CommentText">
    <w:name w:val="annotation text"/>
    <w:basedOn w:val="Normal"/>
    <w:link w:val="CommentTextChar"/>
    <w:uiPriority w:val="99"/>
    <w:unhideWhenUsed/>
    <w:rsid w:val="00B15BAF"/>
    <w:rPr>
      <w:sz w:val="20"/>
      <w:szCs w:val="20"/>
    </w:rPr>
  </w:style>
  <w:style w:type="character" w:customStyle="1" w:styleId="CommentTextChar">
    <w:name w:val="Comment Text Char"/>
    <w:link w:val="CommentText"/>
    <w:uiPriority w:val="99"/>
    <w:rsid w:val="00B15BAF"/>
    <w:rPr>
      <w:rFonts w:eastAsia="SimSun"/>
      <w:sz w:val="20"/>
      <w:szCs w:val="20"/>
    </w:rPr>
  </w:style>
  <w:style w:type="paragraph" w:styleId="CommentSubject">
    <w:name w:val="annotation subject"/>
    <w:basedOn w:val="CommentText"/>
    <w:next w:val="CommentText"/>
    <w:link w:val="CommentSubjectChar"/>
    <w:uiPriority w:val="99"/>
    <w:semiHidden/>
    <w:unhideWhenUsed/>
    <w:rsid w:val="00B15BAF"/>
    <w:rPr>
      <w:b/>
      <w:bCs/>
    </w:rPr>
  </w:style>
  <w:style w:type="character" w:customStyle="1" w:styleId="CommentSubjectChar">
    <w:name w:val="Comment Subject Char"/>
    <w:link w:val="CommentSubject"/>
    <w:uiPriority w:val="99"/>
    <w:semiHidden/>
    <w:rsid w:val="00B15BAF"/>
    <w:rPr>
      <w:rFonts w:eastAsia="SimSun"/>
      <w:b/>
      <w:bCs/>
      <w:sz w:val="20"/>
      <w:szCs w:val="20"/>
    </w:rPr>
  </w:style>
  <w:style w:type="character" w:styleId="Hyperlink">
    <w:name w:val="Hyperlink"/>
    <w:basedOn w:val="DefaultParagraphFont"/>
    <w:uiPriority w:val="99"/>
    <w:unhideWhenUsed/>
    <w:rsid w:val="00630ED9"/>
    <w:rPr>
      <w:color w:val="0000FF" w:themeColor="hyperlink"/>
      <w:u w:val="single"/>
    </w:rPr>
  </w:style>
  <w:style w:type="table" w:styleId="TableGrid">
    <w:name w:val="Table Grid"/>
    <w:basedOn w:val="TableNormal"/>
    <w:locked/>
    <w:rsid w:val="000C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D05A3"/>
    <w:rPr>
      <w:rFonts w:eastAsia="SimSun"/>
      <w:sz w:val="22"/>
      <w:szCs w:val="22"/>
      <w:lang w:eastAsia="zh-CN"/>
    </w:rPr>
  </w:style>
  <w:style w:type="paragraph" w:styleId="Header">
    <w:name w:val="header"/>
    <w:basedOn w:val="Normal"/>
    <w:link w:val="HeaderChar"/>
    <w:uiPriority w:val="99"/>
    <w:unhideWhenUsed/>
    <w:rsid w:val="003267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67A0"/>
    <w:rPr>
      <w:rFonts w:eastAsia="SimSun"/>
      <w:sz w:val="22"/>
      <w:szCs w:val="22"/>
      <w:lang w:eastAsia="zh-CN"/>
    </w:rPr>
  </w:style>
  <w:style w:type="paragraph" w:styleId="Footer">
    <w:name w:val="footer"/>
    <w:basedOn w:val="Normal"/>
    <w:link w:val="FooterChar"/>
    <w:uiPriority w:val="99"/>
    <w:unhideWhenUsed/>
    <w:rsid w:val="00326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67A0"/>
    <w:rPr>
      <w:rFonts w:eastAsia="SimSun"/>
      <w:sz w:val="22"/>
      <w:szCs w:val="22"/>
      <w:lang w:eastAsia="zh-CN"/>
    </w:rPr>
  </w:style>
  <w:style w:type="paragraph" w:styleId="NoSpacing">
    <w:name w:val="No Spacing"/>
    <w:uiPriority w:val="1"/>
    <w:qFormat/>
    <w:rsid w:val="003C662F"/>
    <w:rPr>
      <w:rFonts w:ascii="Times New Roman" w:eastAsia="SimSun" w:hAnsi="Times New Roman"/>
      <w:sz w:val="24"/>
      <w:szCs w:val="22"/>
      <w:lang w:eastAsia="zh-CN"/>
    </w:rPr>
  </w:style>
  <w:style w:type="character" w:customStyle="1" w:styleId="Heading3Char">
    <w:name w:val="Heading 3 Char"/>
    <w:basedOn w:val="DefaultParagraphFont"/>
    <w:link w:val="Heading3"/>
    <w:rsid w:val="001F31CB"/>
    <w:rPr>
      <w:rFonts w:ascii="Times New Roman" w:eastAsia="SimSun" w:hAnsi="Times New Roman"/>
      <w:b/>
      <w:i/>
      <w:sz w:val="24"/>
      <w:szCs w:val="22"/>
      <w:lang w:eastAsia="zh-CN"/>
    </w:rPr>
  </w:style>
  <w:style w:type="character" w:customStyle="1" w:styleId="name">
    <w:name w:val="name"/>
    <w:basedOn w:val="DefaultParagraphFont"/>
    <w:rsid w:val="00FD560A"/>
  </w:style>
  <w:style w:type="character" w:styleId="HTMLCite">
    <w:name w:val="HTML Cite"/>
    <w:basedOn w:val="DefaultParagraphFont"/>
    <w:uiPriority w:val="99"/>
    <w:semiHidden/>
    <w:unhideWhenUsed/>
    <w:rsid w:val="00FD560A"/>
    <w:rPr>
      <w:i/>
      <w:iCs/>
    </w:rPr>
  </w:style>
  <w:style w:type="character" w:customStyle="1" w:styleId="slug-pub-date">
    <w:name w:val="slug-pub-date"/>
    <w:basedOn w:val="DefaultParagraphFont"/>
    <w:rsid w:val="00FD560A"/>
  </w:style>
  <w:style w:type="character" w:customStyle="1" w:styleId="slug-vol">
    <w:name w:val="slug-vol"/>
    <w:basedOn w:val="DefaultParagraphFont"/>
    <w:rsid w:val="00FD560A"/>
  </w:style>
  <w:style w:type="character" w:customStyle="1" w:styleId="slug-issue">
    <w:name w:val="slug-issue"/>
    <w:basedOn w:val="DefaultParagraphFont"/>
    <w:rsid w:val="00FD560A"/>
  </w:style>
  <w:style w:type="character" w:customStyle="1" w:styleId="slug-pages">
    <w:name w:val="slug-pages"/>
    <w:basedOn w:val="DefaultParagraphFont"/>
    <w:rsid w:val="00FD560A"/>
  </w:style>
  <w:style w:type="character" w:styleId="PlaceholderText">
    <w:name w:val="Placeholder Text"/>
    <w:basedOn w:val="DefaultParagraphFont"/>
    <w:uiPriority w:val="99"/>
    <w:semiHidden/>
    <w:rsid w:val="002503AF"/>
    <w:rPr>
      <w:color w:val="808080"/>
    </w:rPr>
  </w:style>
  <w:style w:type="paragraph" w:styleId="FootnoteText">
    <w:name w:val="footnote text"/>
    <w:basedOn w:val="Normal"/>
    <w:link w:val="FootnoteTextChar"/>
    <w:uiPriority w:val="99"/>
    <w:semiHidden/>
    <w:unhideWhenUsed/>
    <w:rsid w:val="006F18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F18B5"/>
    <w:rPr>
      <w:rFonts w:ascii="Times New Roman" w:eastAsia="SimSun" w:hAnsi="Times New Roman"/>
      <w:lang w:eastAsia="zh-CN"/>
    </w:rPr>
  </w:style>
  <w:style w:type="character" w:styleId="FootnoteReference">
    <w:name w:val="footnote reference"/>
    <w:basedOn w:val="DefaultParagraphFont"/>
    <w:uiPriority w:val="99"/>
    <w:semiHidden/>
    <w:unhideWhenUsed/>
    <w:rsid w:val="006F18B5"/>
    <w:rPr>
      <w:vertAlign w:val="superscript"/>
    </w:rPr>
  </w:style>
  <w:style w:type="paragraph" w:styleId="EndnoteText">
    <w:name w:val="endnote text"/>
    <w:basedOn w:val="Normal"/>
    <w:link w:val="EndnoteTextChar"/>
    <w:uiPriority w:val="99"/>
    <w:unhideWhenUsed/>
    <w:rsid w:val="007532FC"/>
    <w:pPr>
      <w:tabs>
        <w:tab w:val="left" w:pos="450"/>
      </w:tabs>
      <w:spacing w:after="0" w:line="480" w:lineRule="auto"/>
      <w:ind w:left="450" w:hanging="450"/>
    </w:pPr>
    <w:rPr>
      <w:szCs w:val="24"/>
    </w:rPr>
  </w:style>
  <w:style w:type="character" w:customStyle="1" w:styleId="EndnoteTextChar">
    <w:name w:val="Endnote Text Char"/>
    <w:basedOn w:val="DefaultParagraphFont"/>
    <w:link w:val="EndnoteText"/>
    <w:uiPriority w:val="99"/>
    <w:rsid w:val="007532FC"/>
    <w:rPr>
      <w:rFonts w:ascii="Times New Roman" w:eastAsia="SimSun" w:hAnsi="Times New Roman"/>
      <w:sz w:val="24"/>
      <w:szCs w:val="24"/>
      <w:lang w:eastAsia="zh-CN"/>
    </w:rPr>
  </w:style>
  <w:style w:type="character" w:styleId="EndnoteReference">
    <w:name w:val="endnote reference"/>
    <w:basedOn w:val="DefaultParagraphFont"/>
    <w:uiPriority w:val="99"/>
    <w:semiHidden/>
    <w:unhideWhenUsed/>
    <w:rsid w:val="006F18B5"/>
    <w:rPr>
      <w:vertAlign w:val="superscript"/>
    </w:rPr>
  </w:style>
  <w:style w:type="character" w:styleId="FollowedHyperlink">
    <w:name w:val="FollowedHyperlink"/>
    <w:basedOn w:val="DefaultParagraphFont"/>
    <w:uiPriority w:val="99"/>
    <w:semiHidden/>
    <w:unhideWhenUsed/>
    <w:rsid w:val="00B241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30490">
      <w:marLeft w:val="0"/>
      <w:marRight w:val="0"/>
      <w:marTop w:val="0"/>
      <w:marBottom w:val="0"/>
      <w:divBdr>
        <w:top w:val="none" w:sz="0" w:space="0" w:color="auto"/>
        <w:left w:val="none" w:sz="0" w:space="0" w:color="auto"/>
        <w:bottom w:val="none" w:sz="0" w:space="0" w:color="auto"/>
        <w:right w:val="none" w:sz="0" w:space="0" w:color="auto"/>
      </w:divBdr>
      <w:divsChild>
        <w:div w:id="129130488">
          <w:marLeft w:val="590"/>
          <w:marRight w:val="0"/>
          <w:marTop w:val="0"/>
          <w:marBottom w:val="204"/>
          <w:divBdr>
            <w:top w:val="none" w:sz="0" w:space="0" w:color="auto"/>
            <w:left w:val="none" w:sz="0" w:space="0" w:color="auto"/>
            <w:bottom w:val="none" w:sz="0" w:space="0" w:color="auto"/>
            <w:right w:val="none" w:sz="0" w:space="0" w:color="auto"/>
          </w:divBdr>
        </w:div>
        <w:div w:id="129130489">
          <w:marLeft w:val="590"/>
          <w:marRight w:val="0"/>
          <w:marTop w:val="0"/>
          <w:marBottom w:val="204"/>
          <w:divBdr>
            <w:top w:val="none" w:sz="0" w:space="0" w:color="auto"/>
            <w:left w:val="none" w:sz="0" w:space="0" w:color="auto"/>
            <w:bottom w:val="none" w:sz="0" w:space="0" w:color="auto"/>
            <w:right w:val="none" w:sz="0" w:space="0" w:color="auto"/>
          </w:divBdr>
        </w:div>
        <w:div w:id="129130491">
          <w:marLeft w:val="590"/>
          <w:marRight w:val="0"/>
          <w:marTop w:val="0"/>
          <w:marBottom w:val="204"/>
          <w:divBdr>
            <w:top w:val="none" w:sz="0" w:space="0" w:color="auto"/>
            <w:left w:val="none" w:sz="0" w:space="0" w:color="auto"/>
            <w:bottom w:val="none" w:sz="0" w:space="0" w:color="auto"/>
            <w:right w:val="none" w:sz="0" w:space="0" w:color="auto"/>
          </w:divBdr>
        </w:div>
        <w:div w:id="129130492">
          <w:marLeft w:val="590"/>
          <w:marRight w:val="0"/>
          <w:marTop w:val="0"/>
          <w:marBottom w:val="204"/>
          <w:divBdr>
            <w:top w:val="none" w:sz="0" w:space="0" w:color="auto"/>
            <w:left w:val="none" w:sz="0" w:space="0" w:color="auto"/>
            <w:bottom w:val="none" w:sz="0" w:space="0" w:color="auto"/>
            <w:right w:val="none" w:sz="0" w:space="0" w:color="auto"/>
          </w:divBdr>
        </w:div>
        <w:div w:id="129130493">
          <w:marLeft w:val="590"/>
          <w:marRight w:val="0"/>
          <w:marTop w:val="0"/>
          <w:marBottom w:val="204"/>
          <w:divBdr>
            <w:top w:val="none" w:sz="0" w:space="0" w:color="auto"/>
            <w:left w:val="none" w:sz="0" w:space="0" w:color="auto"/>
            <w:bottom w:val="none" w:sz="0" w:space="0" w:color="auto"/>
            <w:right w:val="none" w:sz="0" w:space="0" w:color="auto"/>
          </w:divBdr>
        </w:div>
      </w:divsChild>
    </w:div>
    <w:div w:id="260768457">
      <w:bodyDiv w:val="1"/>
      <w:marLeft w:val="0"/>
      <w:marRight w:val="0"/>
      <w:marTop w:val="0"/>
      <w:marBottom w:val="0"/>
      <w:divBdr>
        <w:top w:val="none" w:sz="0" w:space="0" w:color="auto"/>
        <w:left w:val="none" w:sz="0" w:space="0" w:color="auto"/>
        <w:bottom w:val="none" w:sz="0" w:space="0" w:color="auto"/>
        <w:right w:val="none" w:sz="0" w:space="0" w:color="auto"/>
      </w:divBdr>
    </w:div>
    <w:div w:id="384303339">
      <w:bodyDiv w:val="1"/>
      <w:marLeft w:val="0"/>
      <w:marRight w:val="0"/>
      <w:marTop w:val="0"/>
      <w:marBottom w:val="0"/>
      <w:divBdr>
        <w:top w:val="none" w:sz="0" w:space="0" w:color="auto"/>
        <w:left w:val="none" w:sz="0" w:space="0" w:color="auto"/>
        <w:bottom w:val="none" w:sz="0" w:space="0" w:color="auto"/>
        <w:right w:val="none" w:sz="0" w:space="0" w:color="auto"/>
      </w:divBdr>
      <w:divsChild>
        <w:div w:id="1994218563">
          <w:marLeft w:val="0"/>
          <w:marRight w:val="0"/>
          <w:marTop w:val="120"/>
          <w:marBottom w:val="0"/>
          <w:divBdr>
            <w:top w:val="none" w:sz="0" w:space="0" w:color="auto"/>
            <w:left w:val="none" w:sz="0" w:space="0" w:color="auto"/>
            <w:bottom w:val="none" w:sz="0" w:space="0" w:color="auto"/>
            <w:right w:val="none" w:sz="0" w:space="0" w:color="auto"/>
          </w:divBdr>
        </w:div>
      </w:divsChild>
    </w:div>
    <w:div w:id="474563148">
      <w:bodyDiv w:val="1"/>
      <w:marLeft w:val="0"/>
      <w:marRight w:val="0"/>
      <w:marTop w:val="0"/>
      <w:marBottom w:val="0"/>
      <w:divBdr>
        <w:top w:val="none" w:sz="0" w:space="0" w:color="auto"/>
        <w:left w:val="none" w:sz="0" w:space="0" w:color="auto"/>
        <w:bottom w:val="none" w:sz="0" w:space="0" w:color="auto"/>
        <w:right w:val="none" w:sz="0" w:space="0" w:color="auto"/>
      </w:divBdr>
      <w:divsChild>
        <w:div w:id="1951471750">
          <w:marLeft w:val="0"/>
          <w:marRight w:val="0"/>
          <w:marTop w:val="0"/>
          <w:marBottom w:val="0"/>
          <w:divBdr>
            <w:top w:val="none" w:sz="0" w:space="0" w:color="auto"/>
            <w:left w:val="none" w:sz="0" w:space="0" w:color="auto"/>
            <w:bottom w:val="none" w:sz="0" w:space="0" w:color="auto"/>
            <w:right w:val="none" w:sz="0" w:space="0" w:color="auto"/>
          </w:divBdr>
        </w:div>
        <w:div w:id="1450709934">
          <w:marLeft w:val="0"/>
          <w:marRight w:val="0"/>
          <w:marTop w:val="0"/>
          <w:marBottom w:val="0"/>
          <w:divBdr>
            <w:top w:val="none" w:sz="0" w:space="0" w:color="auto"/>
            <w:left w:val="none" w:sz="0" w:space="0" w:color="auto"/>
            <w:bottom w:val="none" w:sz="0" w:space="0" w:color="auto"/>
            <w:right w:val="none" w:sz="0" w:space="0" w:color="auto"/>
          </w:divBdr>
        </w:div>
        <w:div w:id="1989435305">
          <w:marLeft w:val="0"/>
          <w:marRight w:val="0"/>
          <w:marTop w:val="0"/>
          <w:marBottom w:val="0"/>
          <w:divBdr>
            <w:top w:val="none" w:sz="0" w:space="0" w:color="auto"/>
            <w:left w:val="none" w:sz="0" w:space="0" w:color="auto"/>
            <w:bottom w:val="none" w:sz="0" w:space="0" w:color="auto"/>
            <w:right w:val="none" w:sz="0" w:space="0" w:color="auto"/>
          </w:divBdr>
        </w:div>
        <w:div w:id="1741513835">
          <w:marLeft w:val="0"/>
          <w:marRight w:val="0"/>
          <w:marTop w:val="0"/>
          <w:marBottom w:val="0"/>
          <w:divBdr>
            <w:top w:val="none" w:sz="0" w:space="0" w:color="auto"/>
            <w:left w:val="none" w:sz="0" w:space="0" w:color="auto"/>
            <w:bottom w:val="none" w:sz="0" w:space="0" w:color="auto"/>
            <w:right w:val="none" w:sz="0" w:space="0" w:color="auto"/>
          </w:divBdr>
        </w:div>
        <w:div w:id="2102220178">
          <w:marLeft w:val="0"/>
          <w:marRight w:val="0"/>
          <w:marTop w:val="0"/>
          <w:marBottom w:val="0"/>
          <w:divBdr>
            <w:top w:val="none" w:sz="0" w:space="0" w:color="auto"/>
            <w:left w:val="none" w:sz="0" w:space="0" w:color="auto"/>
            <w:bottom w:val="none" w:sz="0" w:space="0" w:color="auto"/>
            <w:right w:val="none" w:sz="0" w:space="0" w:color="auto"/>
          </w:divBdr>
        </w:div>
        <w:div w:id="1689404565">
          <w:marLeft w:val="0"/>
          <w:marRight w:val="0"/>
          <w:marTop w:val="0"/>
          <w:marBottom w:val="0"/>
          <w:divBdr>
            <w:top w:val="none" w:sz="0" w:space="0" w:color="auto"/>
            <w:left w:val="none" w:sz="0" w:space="0" w:color="auto"/>
            <w:bottom w:val="none" w:sz="0" w:space="0" w:color="auto"/>
            <w:right w:val="none" w:sz="0" w:space="0" w:color="auto"/>
          </w:divBdr>
        </w:div>
        <w:div w:id="919219737">
          <w:marLeft w:val="0"/>
          <w:marRight w:val="0"/>
          <w:marTop w:val="0"/>
          <w:marBottom w:val="0"/>
          <w:divBdr>
            <w:top w:val="none" w:sz="0" w:space="0" w:color="auto"/>
            <w:left w:val="none" w:sz="0" w:space="0" w:color="auto"/>
            <w:bottom w:val="none" w:sz="0" w:space="0" w:color="auto"/>
            <w:right w:val="none" w:sz="0" w:space="0" w:color="auto"/>
          </w:divBdr>
        </w:div>
        <w:div w:id="252592554">
          <w:marLeft w:val="0"/>
          <w:marRight w:val="0"/>
          <w:marTop w:val="0"/>
          <w:marBottom w:val="0"/>
          <w:divBdr>
            <w:top w:val="none" w:sz="0" w:space="0" w:color="auto"/>
            <w:left w:val="none" w:sz="0" w:space="0" w:color="auto"/>
            <w:bottom w:val="none" w:sz="0" w:space="0" w:color="auto"/>
            <w:right w:val="none" w:sz="0" w:space="0" w:color="auto"/>
          </w:divBdr>
        </w:div>
        <w:div w:id="542251411">
          <w:marLeft w:val="0"/>
          <w:marRight w:val="0"/>
          <w:marTop w:val="0"/>
          <w:marBottom w:val="0"/>
          <w:divBdr>
            <w:top w:val="none" w:sz="0" w:space="0" w:color="auto"/>
            <w:left w:val="none" w:sz="0" w:space="0" w:color="auto"/>
            <w:bottom w:val="none" w:sz="0" w:space="0" w:color="auto"/>
            <w:right w:val="none" w:sz="0" w:space="0" w:color="auto"/>
          </w:divBdr>
        </w:div>
        <w:div w:id="583495925">
          <w:marLeft w:val="0"/>
          <w:marRight w:val="0"/>
          <w:marTop w:val="0"/>
          <w:marBottom w:val="0"/>
          <w:divBdr>
            <w:top w:val="none" w:sz="0" w:space="0" w:color="auto"/>
            <w:left w:val="none" w:sz="0" w:space="0" w:color="auto"/>
            <w:bottom w:val="none" w:sz="0" w:space="0" w:color="auto"/>
            <w:right w:val="none" w:sz="0" w:space="0" w:color="auto"/>
          </w:divBdr>
        </w:div>
      </w:divsChild>
    </w:div>
    <w:div w:id="499083580">
      <w:bodyDiv w:val="1"/>
      <w:marLeft w:val="0"/>
      <w:marRight w:val="0"/>
      <w:marTop w:val="0"/>
      <w:marBottom w:val="0"/>
      <w:divBdr>
        <w:top w:val="none" w:sz="0" w:space="0" w:color="auto"/>
        <w:left w:val="none" w:sz="0" w:space="0" w:color="auto"/>
        <w:bottom w:val="none" w:sz="0" w:space="0" w:color="auto"/>
        <w:right w:val="none" w:sz="0" w:space="0" w:color="auto"/>
      </w:divBdr>
    </w:div>
    <w:div w:id="758061880">
      <w:bodyDiv w:val="1"/>
      <w:marLeft w:val="0"/>
      <w:marRight w:val="0"/>
      <w:marTop w:val="0"/>
      <w:marBottom w:val="0"/>
      <w:divBdr>
        <w:top w:val="none" w:sz="0" w:space="0" w:color="auto"/>
        <w:left w:val="none" w:sz="0" w:space="0" w:color="auto"/>
        <w:bottom w:val="none" w:sz="0" w:space="0" w:color="auto"/>
        <w:right w:val="none" w:sz="0" w:space="0" w:color="auto"/>
      </w:divBdr>
    </w:div>
    <w:div w:id="768039376">
      <w:bodyDiv w:val="1"/>
      <w:marLeft w:val="0"/>
      <w:marRight w:val="0"/>
      <w:marTop w:val="0"/>
      <w:marBottom w:val="0"/>
      <w:divBdr>
        <w:top w:val="none" w:sz="0" w:space="0" w:color="auto"/>
        <w:left w:val="none" w:sz="0" w:space="0" w:color="auto"/>
        <w:bottom w:val="none" w:sz="0" w:space="0" w:color="auto"/>
        <w:right w:val="none" w:sz="0" w:space="0" w:color="auto"/>
      </w:divBdr>
    </w:div>
    <w:div w:id="872425829">
      <w:bodyDiv w:val="1"/>
      <w:marLeft w:val="0"/>
      <w:marRight w:val="0"/>
      <w:marTop w:val="0"/>
      <w:marBottom w:val="0"/>
      <w:divBdr>
        <w:top w:val="none" w:sz="0" w:space="0" w:color="auto"/>
        <w:left w:val="none" w:sz="0" w:space="0" w:color="auto"/>
        <w:bottom w:val="none" w:sz="0" w:space="0" w:color="auto"/>
        <w:right w:val="none" w:sz="0" w:space="0" w:color="auto"/>
      </w:divBdr>
    </w:div>
    <w:div w:id="1082608414">
      <w:bodyDiv w:val="1"/>
      <w:marLeft w:val="0"/>
      <w:marRight w:val="0"/>
      <w:marTop w:val="0"/>
      <w:marBottom w:val="0"/>
      <w:divBdr>
        <w:top w:val="none" w:sz="0" w:space="0" w:color="auto"/>
        <w:left w:val="none" w:sz="0" w:space="0" w:color="auto"/>
        <w:bottom w:val="none" w:sz="0" w:space="0" w:color="auto"/>
        <w:right w:val="none" w:sz="0" w:space="0" w:color="auto"/>
      </w:divBdr>
    </w:div>
    <w:div w:id="1137260419">
      <w:bodyDiv w:val="1"/>
      <w:marLeft w:val="0"/>
      <w:marRight w:val="0"/>
      <w:marTop w:val="0"/>
      <w:marBottom w:val="0"/>
      <w:divBdr>
        <w:top w:val="none" w:sz="0" w:space="0" w:color="auto"/>
        <w:left w:val="none" w:sz="0" w:space="0" w:color="auto"/>
        <w:bottom w:val="none" w:sz="0" w:space="0" w:color="auto"/>
        <w:right w:val="none" w:sz="0" w:space="0" w:color="auto"/>
      </w:divBdr>
      <w:divsChild>
        <w:div w:id="2136410189">
          <w:marLeft w:val="0"/>
          <w:marRight w:val="0"/>
          <w:marTop w:val="0"/>
          <w:marBottom w:val="0"/>
          <w:divBdr>
            <w:top w:val="none" w:sz="0" w:space="0" w:color="auto"/>
            <w:left w:val="none" w:sz="0" w:space="0" w:color="auto"/>
            <w:bottom w:val="none" w:sz="0" w:space="0" w:color="auto"/>
            <w:right w:val="none" w:sz="0" w:space="0" w:color="auto"/>
          </w:divBdr>
          <w:divsChild>
            <w:div w:id="450319623">
              <w:marLeft w:val="0"/>
              <w:marRight w:val="0"/>
              <w:marTop w:val="0"/>
              <w:marBottom w:val="0"/>
              <w:divBdr>
                <w:top w:val="none" w:sz="0" w:space="0" w:color="auto"/>
                <w:left w:val="none" w:sz="0" w:space="0" w:color="auto"/>
                <w:bottom w:val="none" w:sz="0" w:space="0" w:color="auto"/>
                <w:right w:val="none" w:sz="0" w:space="0" w:color="auto"/>
              </w:divBdr>
              <w:divsChild>
                <w:div w:id="911892142">
                  <w:marLeft w:val="0"/>
                  <w:marRight w:val="0"/>
                  <w:marTop w:val="0"/>
                  <w:marBottom w:val="0"/>
                  <w:divBdr>
                    <w:top w:val="none" w:sz="0" w:space="0" w:color="auto"/>
                    <w:left w:val="none" w:sz="0" w:space="0" w:color="auto"/>
                    <w:bottom w:val="none" w:sz="0" w:space="0" w:color="auto"/>
                    <w:right w:val="none" w:sz="0" w:space="0" w:color="auto"/>
                  </w:divBdr>
                  <w:divsChild>
                    <w:div w:id="1994017207">
                      <w:marLeft w:val="0"/>
                      <w:marRight w:val="0"/>
                      <w:marTop w:val="0"/>
                      <w:marBottom w:val="0"/>
                      <w:divBdr>
                        <w:top w:val="none" w:sz="0" w:space="0" w:color="auto"/>
                        <w:left w:val="none" w:sz="0" w:space="0" w:color="auto"/>
                        <w:bottom w:val="none" w:sz="0" w:space="0" w:color="auto"/>
                        <w:right w:val="none" w:sz="0" w:space="0" w:color="auto"/>
                      </w:divBdr>
                      <w:divsChild>
                        <w:div w:id="327025220">
                          <w:marLeft w:val="0"/>
                          <w:marRight w:val="0"/>
                          <w:marTop w:val="0"/>
                          <w:marBottom w:val="0"/>
                          <w:divBdr>
                            <w:top w:val="none" w:sz="0" w:space="0" w:color="auto"/>
                            <w:left w:val="none" w:sz="0" w:space="0" w:color="auto"/>
                            <w:bottom w:val="none" w:sz="0" w:space="0" w:color="auto"/>
                            <w:right w:val="none" w:sz="0" w:space="0" w:color="auto"/>
                          </w:divBdr>
                        </w:div>
                      </w:divsChild>
                    </w:div>
                    <w:div w:id="1934704482">
                      <w:marLeft w:val="0"/>
                      <w:marRight w:val="0"/>
                      <w:marTop w:val="0"/>
                      <w:marBottom w:val="0"/>
                      <w:divBdr>
                        <w:top w:val="none" w:sz="0" w:space="0" w:color="auto"/>
                        <w:left w:val="none" w:sz="0" w:space="0" w:color="auto"/>
                        <w:bottom w:val="none" w:sz="0" w:space="0" w:color="auto"/>
                        <w:right w:val="none" w:sz="0" w:space="0" w:color="auto"/>
                      </w:divBdr>
                      <w:divsChild>
                        <w:div w:id="27410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70034">
                  <w:marLeft w:val="0"/>
                  <w:marRight w:val="0"/>
                  <w:marTop w:val="0"/>
                  <w:marBottom w:val="0"/>
                  <w:divBdr>
                    <w:top w:val="none" w:sz="0" w:space="0" w:color="auto"/>
                    <w:left w:val="none" w:sz="0" w:space="0" w:color="auto"/>
                    <w:bottom w:val="none" w:sz="0" w:space="0" w:color="auto"/>
                    <w:right w:val="none" w:sz="0" w:space="0" w:color="auto"/>
                  </w:divBdr>
                  <w:divsChild>
                    <w:div w:id="892421750">
                      <w:marLeft w:val="0"/>
                      <w:marRight w:val="0"/>
                      <w:marTop w:val="0"/>
                      <w:marBottom w:val="0"/>
                      <w:divBdr>
                        <w:top w:val="none" w:sz="0" w:space="0" w:color="auto"/>
                        <w:left w:val="none" w:sz="0" w:space="0" w:color="auto"/>
                        <w:bottom w:val="none" w:sz="0" w:space="0" w:color="auto"/>
                        <w:right w:val="none" w:sz="0" w:space="0" w:color="auto"/>
                      </w:divBdr>
                      <w:divsChild>
                        <w:div w:id="1722287186">
                          <w:marLeft w:val="0"/>
                          <w:marRight w:val="0"/>
                          <w:marTop w:val="0"/>
                          <w:marBottom w:val="0"/>
                          <w:divBdr>
                            <w:top w:val="none" w:sz="0" w:space="0" w:color="auto"/>
                            <w:left w:val="none" w:sz="0" w:space="0" w:color="auto"/>
                            <w:bottom w:val="none" w:sz="0" w:space="0" w:color="auto"/>
                            <w:right w:val="none" w:sz="0" w:space="0" w:color="auto"/>
                          </w:divBdr>
                        </w:div>
                      </w:divsChild>
                    </w:div>
                    <w:div w:id="760368558">
                      <w:marLeft w:val="0"/>
                      <w:marRight w:val="0"/>
                      <w:marTop w:val="0"/>
                      <w:marBottom w:val="0"/>
                      <w:divBdr>
                        <w:top w:val="none" w:sz="0" w:space="0" w:color="auto"/>
                        <w:left w:val="none" w:sz="0" w:space="0" w:color="auto"/>
                        <w:bottom w:val="none" w:sz="0" w:space="0" w:color="auto"/>
                        <w:right w:val="none" w:sz="0" w:space="0" w:color="auto"/>
                      </w:divBdr>
                      <w:divsChild>
                        <w:div w:id="107250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29018">
                  <w:marLeft w:val="0"/>
                  <w:marRight w:val="0"/>
                  <w:marTop w:val="0"/>
                  <w:marBottom w:val="0"/>
                  <w:divBdr>
                    <w:top w:val="none" w:sz="0" w:space="0" w:color="auto"/>
                    <w:left w:val="none" w:sz="0" w:space="0" w:color="auto"/>
                    <w:bottom w:val="none" w:sz="0" w:space="0" w:color="auto"/>
                    <w:right w:val="none" w:sz="0" w:space="0" w:color="auto"/>
                  </w:divBdr>
                  <w:divsChild>
                    <w:div w:id="1793790575">
                      <w:marLeft w:val="0"/>
                      <w:marRight w:val="0"/>
                      <w:marTop w:val="0"/>
                      <w:marBottom w:val="0"/>
                      <w:divBdr>
                        <w:top w:val="none" w:sz="0" w:space="0" w:color="auto"/>
                        <w:left w:val="none" w:sz="0" w:space="0" w:color="auto"/>
                        <w:bottom w:val="none" w:sz="0" w:space="0" w:color="auto"/>
                        <w:right w:val="none" w:sz="0" w:space="0" w:color="auto"/>
                      </w:divBdr>
                      <w:divsChild>
                        <w:div w:id="1056664800">
                          <w:marLeft w:val="0"/>
                          <w:marRight w:val="0"/>
                          <w:marTop w:val="0"/>
                          <w:marBottom w:val="0"/>
                          <w:divBdr>
                            <w:top w:val="none" w:sz="0" w:space="0" w:color="auto"/>
                            <w:left w:val="none" w:sz="0" w:space="0" w:color="auto"/>
                            <w:bottom w:val="none" w:sz="0" w:space="0" w:color="auto"/>
                            <w:right w:val="none" w:sz="0" w:space="0" w:color="auto"/>
                          </w:divBdr>
                        </w:div>
                      </w:divsChild>
                    </w:div>
                    <w:div w:id="883565358">
                      <w:marLeft w:val="0"/>
                      <w:marRight w:val="0"/>
                      <w:marTop w:val="0"/>
                      <w:marBottom w:val="0"/>
                      <w:divBdr>
                        <w:top w:val="none" w:sz="0" w:space="0" w:color="auto"/>
                        <w:left w:val="none" w:sz="0" w:space="0" w:color="auto"/>
                        <w:bottom w:val="none" w:sz="0" w:space="0" w:color="auto"/>
                        <w:right w:val="none" w:sz="0" w:space="0" w:color="auto"/>
                      </w:divBdr>
                      <w:divsChild>
                        <w:div w:id="104525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760597">
          <w:marLeft w:val="0"/>
          <w:marRight w:val="0"/>
          <w:marTop w:val="0"/>
          <w:marBottom w:val="0"/>
          <w:divBdr>
            <w:top w:val="none" w:sz="0" w:space="0" w:color="auto"/>
            <w:left w:val="none" w:sz="0" w:space="0" w:color="auto"/>
            <w:bottom w:val="none" w:sz="0" w:space="0" w:color="auto"/>
            <w:right w:val="none" w:sz="0" w:space="0" w:color="auto"/>
          </w:divBdr>
          <w:divsChild>
            <w:div w:id="17786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3531">
      <w:bodyDiv w:val="1"/>
      <w:marLeft w:val="0"/>
      <w:marRight w:val="0"/>
      <w:marTop w:val="0"/>
      <w:marBottom w:val="0"/>
      <w:divBdr>
        <w:top w:val="none" w:sz="0" w:space="0" w:color="auto"/>
        <w:left w:val="none" w:sz="0" w:space="0" w:color="auto"/>
        <w:bottom w:val="none" w:sz="0" w:space="0" w:color="auto"/>
        <w:right w:val="none" w:sz="0" w:space="0" w:color="auto"/>
      </w:divBdr>
      <w:divsChild>
        <w:div w:id="1117601728">
          <w:marLeft w:val="0"/>
          <w:marRight w:val="0"/>
          <w:marTop w:val="0"/>
          <w:marBottom w:val="0"/>
          <w:divBdr>
            <w:top w:val="none" w:sz="0" w:space="0" w:color="auto"/>
            <w:left w:val="none" w:sz="0" w:space="0" w:color="auto"/>
            <w:bottom w:val="none" w:sz="0" w:space="0" w:color="auto"/>
            <w:right w:val="none" w:sz="0" w:space="0" w:color="auto"/>
          </w:divBdr>
        </w:div>
      </w:divsChild>
    </w:div>
    <w:div w:id="1432121476">
      <w:bodyDiv w:val="1"/>
      <w:marLeft w:val="0"/>
      <w:marRight w:val="0"/>
      <w:marTop w:val="0"/>
      <w:marBottom w:val="0"/>
      <w:divBdr>
        <w:top w:val="none" w:sz="0" w:space="0" w:color="auto"/>
        <w:left w:val="none" w:sz="0" w:space="0" w:color="auto"/>
        <w:bottom w:val="none" w:sz="0" w:space="0" w:color="auto"/>
        <w:right w:val="none" w:sz="0" w:space="0" w:color="auto"/>
      </w:divBdr>
    </w:div>
    <w:div w:id="1432817283">
      <w:bodyDiv w:val="1"/>
      <w:marLeft w:val="0"/>
      <w:marRight w:val="0"/>
      <w:marTop w:val="0"/>
      <w:marBottom w:val="0"/>
      <w:divBdr>
        <w:top w:val="none" w:sz="0" w:space="0" w:color="auto"/>
        <w:left w:val="none" w:sz="0" w:space="0" w:color="auto"/>
        <w:bottom w:val="none" w:sz="0" w:space="0" w:color="auto"/>
        <w:right w:val="none" w:sz="0" w:space="0" w:color="auto"/>
      </w:divBdr>
    </w:div>
    <w:div w:id="1528366435">
      <w:bodyDiv w:val="1"/>
      <w:marLeft w:val="0"/>
      <w:marRight w:val="0"/>
      <w:marTop w:val="0"/>
      <w:marBottom w:val="0"/>
      <w:divBdr>
        <w:top w:val="none" w:sz="0" w:space="0" w:color="auto"/>
        <w:left w:val="none" w:sz="0" w:space="0" w:color="auto"/>
        <w:bottom w:val="none" w:sz="0" w:space="0" w:color="auto"/>
        <w:right w:val="none" w:sz="0" w:space="0" w:color="auto"/>
      </w:divBdr>
    </w:div>
    <w:div w:id="1576742997">
      <w:bodyDiv w:val="1"/>
      <w:marLeft w:val="0"/>
      <w:marRight w:val="0"/>
      <w:marTop w:val="0"/>
      <w:marBottom w:val="0"/>
      <w:divBdr>
        <w:top w:val="none" w:sz="0" w:space="0" w:color="auto"/>
        <w:left w:val="none" w:sz="0" w:space="0" w:color="auto"/>
        <w:bottom w:val="none" w:sz="0" w:space="0" w:color="auto"/>
        <w:right w:val="none" w:sz="0" w:space="0" w:color="auto"/>
      </w:divBdr>
    </w:div>
    <w:div w:id="1706130417">
      <w:bodyDiv w:val="1"/>
      <w:marLeft w:val="0"/>
      <w:marRight w:val="0"/>
      <w:marTop w:val="0"/>
      <w:marBottom w:val="0"/>
      <w:divBdr>
        <w:top w:val="none" w:sz="0" w:space="0" w:color="auto"/>
        <w:left w:val="none" w:sz="0" w:space="0" w:color="auto"/>
        <w:bottom w:val="none" w:sz="0" w:space="0" w:color="auto"/>
        <w:right w:val="none" w:sz="0" w:space="0" w:color="auto"/>
      </w:divBdr>
      <w:divsChild>
        <w:div w:id="615720803">
          <w:marLeft w:val="0"/>
          <w:marRight w:val="0"/>
          <w:marTop w:val="0"/>
          <w:marBottom w:val="0"/>
          <w:divBdr>
            <w:top w:val="none" w:sz="0" w:space="0" w:color="auto"/>
            <w:left w:val="none" w:sz="0" w:space="0" w:color="auto"/>
            <w:bottom w:val="none" w:sz="0" w:space="0" w:color="auto"/>
            <w:right w:val="none" w:sz="0" w:space="0" w:color="auto"/>
          </w:divBdr>
        </w:div>
        <w:div w:id="420219745">
          <w:marLeft w:val="0"/>
          <w:marRight w:val="0"/>
          <w:marTop w:val="0"/>
          <w:marBottom w:val="0"/>
          <w:divBdr>
            <w:top w:val="none" w:sz="0" w:space="0" w:color="auto"/>
            <w:left w:val="none" w:sz="0" w:space="0" w:color="auto"/>
            <w:bottom w:val="none" w:sz="0" w:space="0" w:color="auto"/>
            <w:right w:val="none" w:sz="0" w:space="0" w:color="auto"/>
          </w:divBdr>
        </w:div>
        <w:div w:id="235407268">
          <w:marLeft w:val="0"/>
          <w:marRight w:val="0"/>
          <w:marTop w:val="0"/>
          <w:marBottom w:val="0"/>
          <w:divBdr>
            <w:top w:val="none" w:sz="0" w:space="0" w:color="auto"/>
            <w:left w:val="none" w:sz="0" w:space="0" w:color="auto"/>
            <w:bottom w:val="none" w:sz="0" w:space="0" w:color="auto"/>
            <w:right w:val="none" w:sz="0" w:space="0" w:color="auto"/>
          </w:divBdr>
        </w:div>
        <w:div w:id="563953596">
          <w:marLeft w:val="0"/>
          <w:marRight w:val="0"/>
          <w:marTop w:val="0"/>
          <w:marBottom w:val="0"/>
          <w:divBdr>
            <w:top w:val="none" w:sz="0" w:space="0" w:color="auto"/>
            <w:left w:val="none" w:sz="0" w:space="0" w:color="auto"/>
            <w:bottom w:val="none" w:sz="0" w:space="0" w:color="auto"/>
            <w:right w:val="none" w:sz="0" w:space="0" w:color="auto"/>
          </w:divBdr>
        </w:div>
        <w:div w:id="590240480">
          <w:marLeft w:val="0"/>
          <w:marRight w:val="0"/>
          <w:marTop w:val="0"/>
          <w:marBottom w:val="0"/>
          <w:divBdr>
            <w:top w:val="none" w:sz="0" w:space="0" w:color="auto"/>
            <w:left w:val="none" w:sz="0" w:space="0" w:color="auto"/>
            <w:bottom w:val="none" w:sz="0" w:space="0" w:color="auto"/>
            <w:right w:val="none" w:sz="0" w:space="0" w:color="auto"/>
          </w:divBdr>
        </w:div>
      </w:divsChild>
    </w:div>
    <w:div w:id="192060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26" Type="http://schemas.microsoft.com/office/2011/relationships/people" Target="peop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yili@umich.edu"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1.png"/><Relationship Id="rId28" Type="http://schemas.microsoft.com/office/2011/relationships/commentsExtended" Target="commentsExtended.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5DE614-67C9-4717-9B44-673B0DCD2AC8}">
  <ds:schemaRefs>
    <ds:schemaRef ds:uri="http://schemas.openxmlformats.org/officeDocument/2006/bibliography"/>
  </ds:schemaRefs>
</ds:datastoreItem>
</file>

<file path=customXml/itemProps2.xml><?xml version="1.0" encoding="utf-8"?>
<ds:datastoreItem xmlns:ds="http://schemas.openxmlformats.org/officeDocument/2006/customXml" ds:itemID="{47AC862D-9737-4244-95A8-91FEF9410F8B}">
  <ds:schemaRefs>
    <ds:schemaRef ds:uri="http://schemas.openxmlformats.org/officeDocument/2006/bibliography"/>
  </ds:schemaRefs>
</ds:datastoreItem>
</file>

<file path=customXml/itemProps3.xml><?xml version="1.0" encoding="utf-8"?>
<ds:datastoreItem xmlns:ds="http://schemas.openxmlformats.org/officeDocument/2006/customXml" ds:itemID="{549B042F-3589-4E57-818A-5F21FCDF7751}">
  <ds:schemaRefs>
    <ds:schemaRef ds:uri="http://schemas.openxmlformats.org/officeDocument/2006/bibliography"/>
  </ds:schemaRefs>
</ds:datastoreItem>
</file>

<file path=customXml/itemProps4.xml><?xml version="1.0" encoding="utf-8"?>
<ds:datastoreItem xmlns:ds="http://schemas.openxmlformats.org/officeDocument/2006/customXml" ds:itemID="{634ED4DB-89DC-4317-8F6A-76900CF2D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2626</Words>
  <Characters>14969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University of Michigan</Company>
  <LinksUpToDate>false</LinksUpToDate>
  <CharactersWithSpaces>17560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renajsun</dc:creator>
  <cp:lastModifiedBy>Yi Li</cp:lastModifiedBy>
  <cp:revision>2</cp:revision>
  <cp:lastPrinted>2015-01-16T18:06:00Z</cp:lastPrinted>
  <dcterms:created xsi:type="dcterms:W3CDTF">2015-05-01T12:51:00Z</dcterms:created>
  <dcterms:modified xsi:type="dcterms:W3CDTF">2015-05-01T12:51:00Z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